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before="156"/>
        <w:jc w:val="left"/>
        <w:textAlignment w:val="baseline"/>
        <w:rPr>
          <w:rFonts w:hint="eastAsia" w:ascii="Arial" w:hAnsi="Arial" w:cs="Arial" w:eastAsiaTheme="minorEastAsia"/>
          <w:b/>
          <w:bCs/>
          <w:kern w:val="0"/>
          <w:sz w:val="24"/>
          <w:lang w:val="en-US" w:eastAsia="zh-CN"/>
        </w:rPr>
      </w:pPr>
      <w:r>
        <w:rPr>
          <w:rFonts w:ascii="Arial" w:hAnsi="Arial" w:cs="Arial"/>
          <w:b/>
          <w:bCs/>
          <w:kern w:val="0"/>
          <w:sz w:val="24"/>
          <w:lang w:val="en-GB"/>
        </w:rPr>
        <w:t>3GPP TSG-RAN WG2 Meeting #</w:t>
      </w:r>
      <w:r>
        <w:rPr>
          <w:rFonts w:hint="eastAsia" w:ascii="Arial" w:hAnsi="Arial" w:cs="Arial"/>
          <w:b/>
          <w:bCs/>
          <w:kern w:val="0"/>
          <w:sz w:val="24"/>
          <w:lang w:val="en-US" w:eastAsia="zh-CN"/>
        </w:rPr>
        <w:t>104</w:t>
      </w:r>
      <w:r>
        <w:rPr>
          <w:rFonts w:ascii="Arial" w:hAnsi="Arial" w:cs="Arial"/>
          <w:b/>
          <w:bCs/>
          <w:kern w:val="0"/>
          <w:sz w:val="24"/>
          <w:lang w:val="en-GB"/>
        </w:rPr>
        <w:t xml:space="preserve"> </w:t>
      </w:r>
      <w:r>
        <w:rPr>
          <w:rFonts w:ascii="Arial" w:hAnsi="Arial" w:cs="Arial"/>
          <w:b/>
          <w:bCs/>
          <w:kern w:val="0"/>
          <w:sz w:val="24"/>
          <w:lang w:val="en-GB"/>
        </w:rPr>
        <w:tab/>
      </w:r>
      <w:r>
        <w:rPr>
          <w:rFonts w:hint="eastAsia" w:ascii="Arial" w:hAnsi="Arial" w:cs="Arial"/>
          <w:b/>
          <w:bCs/>
          <w:kern w:val="0"/>
          <w:sz w:val="24"/>
        </w:rPr>
        <w:t xml:space="preserve">                      </w:t>
      </w:r>
      <w:r>
        <w:rPr>
          <w:rFonts w:hint="eastAsia" w:ascii="Arial" w:hAnsi="Arial" w:cs="Arial"/>
          <w:b/>
          <w:bCs/>
          <w:kern w:val="0"/>
          <w:sz w:val="24"/>
          <w:lang w:val="en-US" w:eastAsia="zh-CN"/>
        </w:rPr>
        <w:t xml:space="preserve">   </w:t>
      </w:r>
      <w:r>
        <w:rPr>
          <w:rFonts w:hint="eastAsia" w:ascii="Arial" w:hAnsi="Arial" w:cs="Arial"/>
          <w:b/>
          <w:bCs/>
          <w:kern w:val="0"/>
          <w:sz w:val="24"/>
        </w:rPr>
        <w:t xml:space="preserve">  </w:t>
      </w:r>
      <w:r>
        <w:rPr>
          <w:rFonts w:hint="eastAsia" w:ascii="Arial" w:hAnsi="Arial" w:cs="Arial"/>
          <w:b/>
          <w:bCs/>
          <w:kern w:val="0"/>
          <w:sz w:val="24"/>
          <w:lang w:val="en-GB"/>
        </w:rPr>
        <w:t>R2-1</w:t>
      </w:r>
      <w:r>
        <w:rPr>
          <w:rFonts w:hint="eastAsia" w:ascii="Arial" w:hAnsi="Arial" w:cs="Arial"/>
          <w:b/>
          <w:bCs/>
          <w:kern w:val="0"/>
          <w:sz w:val="24"/>
        </w:rPr>
        <w:t>8</w:t>
      </w:r>
      <w:r>
        <w:rPr>
          <w:rFonts w:hint="eastAsia" w:ascii="Arial" w:hAnsi="Arial" w:cs="Arial"/>
          <w:b/>
          <w:bCs/>
          <w:kern w:val="0"/>
          <w:sz w:val="24"/>
          <w:lang w:val="en-US" w:eastAsia="zh-CN"/>
        </w:rPr>
        <w:t>16671</w:t>
      </w:r>
    </w:p>
    <w:p>
      <w:pPr>
        <w:overflowPunct w:val="0"/>
        <w:autoSpaceDE w:val="0"/>
        <w:autoSpaceDN w:val="0"/>
        <w:adjustRightInd w:val="0"/>
        <w:snapToGrid w:val="0"/>
        <w:spacing w:before="156"/>
        <w:jc w:val="left"/>
        <w:textAlignment w:val="baseline"/>
        <w:rPr>
          <w:rFonts w:hint="eastAsia" w:ascii="Arial" w:hAnsi="Arial" w:cs="Arial"/>
          <w:b/>
          <w:bCs/>
          <w:kern w:val="0"/>
          <w:sz w:val="24"/>
          <w:lang w:val="en-US" w:eastAsia="zh-CN"/>
        </w:rPr>
      </w:pPr>
      <w:r>
        <w:rPr>
          <w:rFonts w:hint="eastAsia" w:ascii="Arial" w:hAnsi="Arial" w:cs="Arial"/>
          <w:b/>
          <w:bCs/>
          <w:kern w:val="0"/>
          <w:sz w:val="24"/>
          <w:lang w:val="en-US" w:eastAsia="zh-CN"/>
        </w:rPr>
        <w:t>Spokane</w:t>
      </w:r>
      <w:r>
        <w:rPr>
          <w:rFonts w:ascii="Arial" w:hAnsi="Arial" w:cs="Arial"/>
          <w:b/>
          <w:bCs/>
          <w:kern w:val="0"/>
          <w:sz w:val="24"/>
          <w:lang w:val="en-GB"/>
        </w:rPr>
        <w:t xml:space="preserve">, </w:t>
      </w:r>
      <w:r>
        <w:rPr>
          <w:rFonts w:hint="eastAsia" w:ascii="Arial" w:hAnsi="Arial" w:cs="Arial"/>
          <w:b/>
          <w:bCs/>
          <w:kern w:val="0"/>
          <w:sz w:val="24"/>
          <w:lang w:val="en-US" w:eastAsia="zh-CN"/>
        </w:rPr>
        <w:t>USA,</w:t>
      </w:r>
      <w:r>
        <w:rPr>
          <w:rFonts w:ascii="Arial" w:hAnsi="Arial" w:cs="Arial"/>
          <w:b/>
          <w:bCs/>
          <w:kern w:val="0"/>
          <w:sz w:val="24"/>
          <w:lang w:val="en-GB"/>
        </w:rPr>
        <w:t xml:space="preserve"> </w:t>
      </w:r>
      <w:r>
        <w:rPr>
          <w:rFonts w:hint="eastAsia" w:ascii="Arial" w:hAnsi="Arial" w:cs="Arial"/>
          <w:b/>
          <w:bCs/>
          <w:kern w:val="0"/>
          <w:sz w:val="24"/>
          <w:lang w:val="en-US" w:eastAsia="zh-CN"/>
        </w:rPr>
        <w:t>12</w:t>
      </w:r>
      <w:r>
        <w:rPr>
          <w:rFonts w:hint="eastAsia" w:ascii="Arial" w:hAnsi="Arial" w:cs="Arial"/>
          <w:b/>
          <w:bCs/>
          <w:kern w:val="0"/>
          <w:sz w:val="24"/>
          <w:vertAlign w:val="superscript"/>
          <w:lang w:val="en-US" w:eastAsia="zh-CN"/>
        </w:rPr>
        <w:t>th</w:t>
      </w:r>
      <w:r>
        <w:rPr>
          <w:rFonts w:ascii="Arial" w:hAnsi="Arial" w:cs="Arial"/>
          <w:b/>
          <w:bCs/>
          <w:kern w:val="0"/>
          <w:sz w:val="24"/>
          <w:lang w:val="en-GB"/>
        </w:rPr>
        <w:t xml:space="preserve"> – </w:t>
      </w:r>
      <w:r>
        <w:rPr>
          <w:rFonts w:hint="eastAsia" w:ascii="Arial" w:hAnsi="Arial" w:cs="Arial"/>
          <w:b/>
          <w:bCs/>
          <w:kern w:val="0"/>
          <w:sz w:val="24"/>
          <w:lang w:val="en-US" w:eastAsia="zh-CN"/>
        </w:rPr>
        <w:t>16</w:t>
      </w:r>
      <w:r>
        <w:rPr>
          <w:rFonts w:hint="eastAsia" w:ascii="Arial" w:hAnsi="Arial" w:cs="Arial"/>
          <w:b/>
          <w:bCs/>
          <w:kern w:val="0"/>
          <w:sz w:val="24"/>
          <w:vertAlign w:val="superscript"/>
        </w:rPr>
        <w:t>th</w:t>
      </w:r>
      <w:r>
        <w:rPr>
          <w:rFonts w:ascii="Arial" w:hAnsi="Arial" w:cs="Arial"/>
          <w:b/>
          <w:bCs/>
          <w:kern w:val="0"/>
          <w:sz w:val="24"/>
          <w:lang w:val="en-GB"/>
        </w:rPr>
        <w:t xml:space="preserve"> </w:t>
      </w:r>
      <w:r>
        <w:rPr>
          <w:rFonts w:hint="eastAsia" w:ascii="Arial" w:hAnsi="Arial" w:cs="Arial"/>
          <w:b/>
          <w:bCs/>
          <w:kern w:val="0"/>
          <w:sz w:val="24"/>
          <w:lang w:val="en-US" w:eastAsia="zh-CN"/>
        </w:rPr>
        <w:t>Nov</w:t>
      </w:r>
      <w:r>
        <w:rPr>
          <w:rFonts w:hint="eastAsia" w:ascii="Arial" w:hAnsi="Arial" w:cs="Arial"/>
          <w:b/>
          <w:bCs/>
          <w:kern w:val="0"/>
          <w:sz w:val="24"/>
          <w:lang w:val="en-GB"/>
        </w:rPr>
        <w:t xml:space="preserve"> 2018</w:t>
      </w:r>
    </w:p>
    <w:p>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r>
        <w:rPr>
          <w:rFonts w:hint="eastAsia" w:ascii="Arial" w:hAnsi="Arial" w:cs="Arial"/>
          <w:b/>
          <w:bCs/>
          <w:color w:val="9A9B9D" w:themeColor="background2" w:themeTint="99"/>
          <w:kern w:val="0"/>
          <w:sz w:val="24"/>
          <w:lang w:val="en-GB"/>
          <w14:textFill>
            <w14:solidFill>
              <w14:schemeClr w14:val="bg2">
                <w14:lumMod w14:val="60000"/>
                <w14:lumOff w14:val="40000"/>
              </w14:schemeClr>
            </w14:solidFill>
          </w14:textFill>
        </w:rPr>
        <w:t xml:space="preserve"> </w:t>
      </w:r>
      <w:r>
        <w:rPr>
          <w:rFonts w:hint="eastAsia" w:ascii="Arial" w:hAnsi="Arial" w:cs="Arial"/>
          <w:b/>
          <w:bCs/>
          <w:color w:val="9A9B9D" w:themeColor="background2" w:themeTint="99"/>
          <w:kern w:val="0"/>
          <w:sz w:val="28"/>
          <w:szCs w:val="28"/>
          <w14:textFill>
            <w14:solidFill>
              <w14:schemeClr w14:val="bg2">
                <w14:lumMod w14:val="60000"/>
                <w14:lumOff w14:val="40000"/>
              </w14:schemeClr>
            </w14:solidFill>
          </w14:textFill>
        </w:rPr>
        <w:tab/>
      </w:r>
      <w:r>
        <w:rPr>
          <w:rFonts w:hint="eastAsia" w:ascii="Arial" w:hAnsi="Arial" w:cs="Arial"/>
          <w:b/>
          <w:bCs/>
          <w:kern w:val="0"/>
          <w:sz w:val="28"/>
          <w:szCs w:val="28"/>
        </w:rPr>
        <w:tab/>
      </w:r>
      <w:r>
        <w:rPr>
          <w:rFonts w:hint="eastAsia" w:ascii="Arial" w:hAnsi="Arial" w:cs="Arial"/>
          <w:b/>
          <w:bCs/>
          <w:kern w:val="0"/>
          <w:sz w:val="28"/>
          <w:szCs w:val="28"/>
        </w:rPr>
        <w:tab/>
      </w:r>
      <w:r>
        <w:rPr>
          <w:rFonts w:hint="eastAsia" w:ascii="Arial" w:hAnsi="Arial" w:cs="Arial"/>
          <w:b/>
          <w:bCs/>
          <w:kern w:val="0"/>
          <w:sz w:val="28"/>
          <w:szCs w:val="28"/>
        </w:rPr>
        <w:tab/>
      </w:r>
      <w:r>
        <w:rPr>
          <w:rFonts w:hint="eastAsia" w:ascii="Arial" w:hAnsi="Arial" w:cs="Arial"/>
          <w:b/>
          <w:bCs/>
          <w:kern w:val="0"/>
          <w:sz w:val="28"/>
          <w:szCs w:val="28"/>
        </w:rPr>
        <w:t xml:space="preserve">      </w:t>
      </w:r>
    </w:p>
    <w:p>
      <w:pPr>
        <w:overflowPunct w:val="0"/>
        <w:autoSpaceDE w:val="0"/>
        <w:autoSpaceDN w:val="0"/>
        <w:adjustRightInd w:val="0"/>
        <w:snapToGrid w:val="0"/>
        <w:spacing w:before="156"/>
        <w:jc w:val="left"/>
        <w:textAlignment w:val="baseline"/>
        <w:rPr>
          <w:rFonts w:hint="eastAsia" w:ascii="Arial" w:hAnsi="Arial" w:cs="Arial" w:eastAsiaTheme="minorEastAsia"/>
          <w:b/>
          <w:bCs/>
          <w:snapToGrid w:val="0"/>
          <w:kern w:val="0"/>
          <w:sz w:val="24"/>
          <w:lang w:val="en-US" w:eastAsia="zh-CN"/>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w:t>
      </w:r>
      <w:r>
        <w:rPr>
          <w:rFonts w:hint="eastAsia" w:ascii="Arial" w:hAnsi="Arial" w:cs="Arial"/>
          <w:b/>
          <w:bCs/>
          <w:snapToGrid w:val="0"/>
          <w:kern w:val="0"/>
          <w:sz w:val="24"/>
        </w:rPr>
        <w:t xml:space="preserve"> Corporation</w:t>
      </w:r>
      <w:r>
        <w:rPr>
          <w:rFonts w:hint="eastAsia" w:ascii="Arial" w:hAnsi="Arial" w:cs="Arial"/>
          <w:b/>
          <w:bCs/>
          <w:snapToGrid w:val="0"/>
          <w:kern w:val="0"/>
          <w:sz w:val="24"/>
          <w:lang w:val="en-US" w:eastAsia="zh-CN"/>
        </w:rPr>
        <w:t>, Sanechips</w:t>
      </w:r>
      <w:bookmarkStart w:id="5" w:name="_GoBack"/>
      <w:bookmarkEnd w:id="5"/>
    </w:p>
    <w:p>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Bandwidth of initial BWP in Option2 operation</w:t>
      </w:r>
      <w:r>
        <w:rPr>
          <w:rFonts w:hint="eastAsia" w:ascii="Arial" w:hAnsi="Arial" w:cs="Arial"/>
          <w:b/>
          <w:bCs/>
          <w:snapToGrid w:val="0"/>
          <w:kern w:val="0"/>
          <w:sz w:val="24"/>
        </w:rPr>
        <w:t xml:space="preserve"> </w:t>
      </w:r>
      <w:r>
        <w:rPr>
          <w:rFonts w:ascii="Arial" w:hAnsi="Arial" w:cs="Arial"/>
          <w:b/>
          <w:bCs/>
          <w:snapToGrid w:val="0"/>
          <w:kern w:val="0"/>
          <w:sz w:val="24"/>
        </w:rPr>
        <w:t xml:space="preserve"> </w:t>
      </w:r>
    </w:p>
    <w:p>
      <w:pPr>
        <w:overflowPunct w:val="0"/>
        <w:autoSpaceDE w:val="0"/>
        <w:autoSpaceDN w:val="0"/>
        <w:adjustRightInd w:val="0"/>
        <w:snapToGrid w:val="0"/>
        <w:spacing w:before="156"/>
        <w:jc w:val="left"/>
        <w:textAlignment w:val="baseline"/>
        <w:rPr>
          <w:rFonts w:hint="eastAsia"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10.</w:t>
      </w:r>
      <w:r>
        <w:rPr>
          <w:rFonts w:hint="eastAsia" w:ascii="Arial" w:hAnsi="Arial" w:cs="Arial"/>
          <w:b/>
          <w:bCs/>
          <w:snapToGrid w:val="0"/>
          <w:kern w:val="0"/>
          <w:sz w:val="24"/>
          <w:lang w:val="en-US" w:eastAsia="zh-CN"/>
        </w:rPr>
        <w:t>4.1.3.1.1</w:t>
      </w:r>
    </w:p>
    <w:p>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56"/>
        <w:rPr>
          <w:rFonts w:hint="eastAsia"/>
          <w:lang w:val="en-US" w:eastAsia="zh-CN"/>
        </w:rPr>
      </w:pPr>
      <w:r>
        <w:rPr>
          <w:rFonts w:hint="eastAsia"/>
          <w:lang w:val="en-US" w:eastAsia="zh-CN"/>
        </w:rPr>
        <w:t xml:space="preserve">During last RAN2 meeting, the following agreement were made for Option2 operation.  </w:t>
      </w:r>
    </w:p>
    <w:p>
      <w:pPr>
        <w:pStyle w:val="82"/>
        <w:keepNext w:val="0"/>
        <w:keepLines w:val="0"/>
        <w:pageBreakBefore w:val="0"/>
        <w:widowControl/>
        <w:pBdr>
          <w:top w:val="single" w:color="auto" w:sz="4" w:space="1"/>
          <w:left w:val="single" w:color="auto" w:sz="4" w:space="4"/>
          <w:bottom w:val="single" w:color="auto" w:sz="4" w:space="1"/>
          <w:right w:val="single" w:color="auto" w:sz="4" w:space="4"/>
        </w:pBdr>
        <w:tabs>
          <w:tab w:val="clear" w:pos="1622"/>
        </w:tabs>
        <w:kinsoku/>
        <w:wordWrap/>
        <w:overflowPunct/>
        <w:topLinePunct w:val="0"/>
        <w:autoSpaceDE/>
        <w:autoSpaceDN/>
        <w:bidi w:val="0"/>
        <w:adjustRightInd/>
        <w:snapToGrid w:val="0"/>
        <w:spacing w:before="0" w:beforeLines="0" w:after="0" w:line="240" w:lineRule="auto"/>
        <w:ind w:left="1060" w:leftChars="0" w:hanging="420" w:firstLineChars="0"/>
        <w:textAlignment w:val="auto"/>
        <w:outlineLvl w:val="9"/>
      </w:pPr>
      <w:r>
        <w:t>Agreements</w:t>
      </w:r>
    </w:p>
    <w:p>
      <w:pPr>
        <w:pStyle w:val="82"/>
        <w:keepNext w:val="0"/>
        <w:keepLines w:val="0"/>
        <w:pageBreakBefore w:val="0"/>
        <w:widowControl/>
        <w:pBdr>
          <w:top w:val="single" w:color="auto" w:sz="4" w:space="1"/>
          <w:left w:val="single" w:color="auto" w:sz="4" w:space="4"/>
          <w:bottom w:val="single" w:color="auto" w:sz="4" w:space="1"/>
          <w:right w:val="single" w:color="auto" w:sz="4" w:space="4"/>
        </w:pBdr>
        <w:tabs>
          <w:tab w:val="clear" w:pos="1622"/>
        </w:tabs>
        <w:kinsoku/>
        <w:wordWrap/>
        <w:overflowPunct/>
        <w:topLinePunct w:val="0"/>
        <w:autoSpaceDE/>
        <w:autoSpaceDN/>
        <w:bidi w:val="0"/>
        <w:adjustRightInd/>
        <w:snapToGrid w:val="0"/>
        <w:spacing w:before="0" w:beforeLines="0" w:after="0" w:line="240" w:lineRule="auto"/>
        <w:ind w:left="1060" w:leftChars="0" w:hanging="420" w:firstLineChars="0"/>
        <w:textAlignment w:val="auto"/>
        <w:outlineLvl w:val="9"/>
      </w:pPr>
      <w:r>
        <w:t>1</w:t>
      </w:r>
      <w:r>
        <w:tab/>
      </w:r>
      <w:r>
        <w:t>Capture in the field description of the initialDownlinkBWP in DownlinkConfigCommonSIB that “The network configures the  locationAndBandwidth so that the initial downlink BWP contains the entire CORESET#0 of this serving cell in the frequency domain.”</w:t>
      </w:r>
    </w:p>
    <w:p>
      <w:pPr>
        <w:pStyle w:val="82"/>
        <w:keepNext w:val="0"/>
        <w:keepLines w:val="0"/>
        <w:pageBreakBefore w:val="0"/>
        <w:widowControl/>
        <w:pBdr>
          <w:top w:val="single" w:color="auto" w:sz="4" w:space="1"/>
          <w:left w:val="single" w:color="auto" w:sz="4" w:space="4"/>
          <w:bottom w:val="single" w:color="auto" w:sz="4" w:space="1"/>
          <w:right w:val="single" w:color="auto" w:sz="4" w:space="4"/>
        </w:pBdr>
        <w:tabs>
          <w:tab w:val="clear" w:pos="1622"/>
        </w:tabs>
        <w:kinsoku/>
        <w:wordWrap/>
        <w:overflowPunct/>
        <w:topLinePunct w:val="0"/>
        <w:autoSpaceDE/>
        <w:autoSpaceDN/>
        <w:bidi w:val="0"/>
        <w:adjustRightInd/>
        <w:snapToGrid w:val="0"/>
        <w:spacing w:before="0" w:beforeLines="0" w:after="0" w:line="240" w:lineRule="auto"/>
        <w:ind w:left="1060" w:leftChars="0" w:hanging="420" w:firstLineChars="0"/>
        <w:textAlignment w:val="auto"/>
        <w:outlineLvl w:val="9"/>
      </w:pPr>
      <w:r>
        <w:t>2</w:t>
      </w:r>
      <w:r>
        <w:tab/>
      </w:r>
      <w:r>
        <w:t>Capture in the field description of the commonControlResourceSet that “The network configures the commonControlResourceSet in SIB1 so that it is confined in the bandwidth of CORESET#0”.</w:t>
      </w:r>
    </w:p>
    <w:p>
      <w:pPr>
        <w:pStyle w:val="82"/>
        <w:keepNext w:val="0"/>
        <w:keepLines w:val="0"/>
        <w:pageBreakBefore w:val="0"/>
        <w:widowControl/>
        <w:pBdr>
          <w:top w:val="single" w:color="auto" w:sz="4" w:space="1"/>
          <w:left w:val="single" w:color="auto" w:sz="4" w:space="4"/>
          <w:bottom w:val="single" w:color="auto" w:sz="4" w:space="1"/>
          <w:right w:val="single" w:color="auto" w:sz="4" w:space="4"/>
        </w:pBdr>
        <w:tabs>
          <w:tab w:val="clear" w:pos="1622"/>
        </w:tabs>
        <w:kinsoku/>
        <w:wordWrap/>
        <w:overflowPunct/>
        <w:topLinePunct w:val="0"/>
        <w:autoSpaceDE/>
        <w:autoSpaceDN/>
        <w:bidi w:val="0"/>
        <w:adjustRightInd/>
        <w:snapToGrid w:val="0"/>
        <w:spacing w:before="0" w:beforeLines="0" w:after="0" w:line="240" w:lineRule="auto"/>
        <w:ind w:left="1060" w:leftChars="0" w:hanging="420" w:firstLineChars="0"/>
        <w:textAlignment w:val="auto"/>
        <w:outlineLvl w:val="9"/>
      </w:pPr>
      <w:r>
        <w:t>3</w:t>
      </w:r>
      <w:r>
        <w:tab/>
      </w:r>
      <w:r>
        <w:rPr>
          <w:highlight w:val="yellow"/>
        </w:rPr>
        <w:t>Capture in the field description of initialDownlinkBWP that “The  locationAndBandwidth is applicable after reception of Msg4.”</w:t>
      </w:r>
    </w:p>
    <w:p>
      <w:pPr>
        <w:pStyle w:val="82"/>
        <w:keepNext w:val="0"/>
        <w:keepLines w:val="0"/>
        <w:pageBreakBefore w:val="0"/>
        <w:widowControl/>
        <w:pBdr>
          <w:top w:val="single" w:color="auto" w:sz="4" w:space="1"/>
          <w:left w:val="single" w:color="auto" w:sz="4" w:space="4"/>
          <w:bottom w:val="single" w:color="auto" w:sz="4" w:space="1"/>
          <w:right w:val="single" w:color="auto" w:sz="4" w:space="4"/>
        </w:pBdr>
        <w:tabs>
          <w:tab w:val="clear" w:pos="1622"/>
        </w:tabs>
        <w:kinsoku/>
        <w:wordWrap/>
        <w:overflowPunct/>
        <w:topLinePunct w:val="0"/>
        <w:autoSpaceDE/>
        <w:autoSpaceDN/>
        <w:bidi w:val="0"/>
        <w:adjustRightInd/>
        <w:snapToGrid w:val="0"/>
        <w:spacing w:before="0" w:beforeLines="0" w:after="0" w:line="240" w:lineRule="auto"/>
        <w:ind w:left="1060" w:leftChars="0" w:hanging="420" w:firstLineChars="0"/>
        <w:textAlignment w:val="auto"/>
        <w:outlineLvl w:val="9"/>
      </w:pPr>
      <w:r>
        <w:t>4</w:t>
      </w:r>
      <w:r>
        <w:tab/>
      </w:r>
      <w:r>
        <w:t>The rules how the UE determines the DCI sizes based on CORESET#0 are not captured in the RRC specification since this is clearly the scope of the L1 specs.</w:t>
      </w:r>
    </w:p>
    <w:p>
      <w:pPr>
        <w:pStyle w:val="82"/>
        <w:keepNext w:val="0"/>
        <w:keepLines w:val="0"/>
        <w:pageBreakBefore w:val="0"/>
        <w:widowControl/>
        <w:pBdr>
          <w:top w:val="single" w:color="auto" w:sz="4" w:space="1"/>
          <w:left w:val="single" w:color="auto" w:sz="4" w:space="4"/>
          <w:bottom w:val="single" w:color="auto" w:sz="4" w:space="1"/>
          <w:right w:val="single" w:color="auto" w:sz="4" w:space="4"/>
        </w:pBdr>
        <w:tabs>
          <w:tab w:val="clear" w:pos="1622"/>
        </w:tabs>
        <w:kinsoku/>
        <w:wordWrap/>
        <w:overflowPunct/>
        <w:topLinePunct w:val="0"/>
        <w:autoSpaceDE/>
        <w:autoSpaceDN/>
        <w:bidi w:val="0"/>
        <w:adjustRightInd/>
        <w:snapToGrid w:val="0"/>
        <w:spacing w:before="0" w:beforeLines="0" w:after="0" w:line="240" w:lineRule="auto"/>
        <w:ind w:left="1060" w:leftChars="0" w:hanging="420" w:firstLineChars="0"/>
        <w:textAlignment w:val="auto"/>
        <w:outlineLvl w:val="9"/>
        <w:rPr>
          <w:rFonts w:hint="eastAsia"/>
          <w:lang w:val="en-US" w:eastAsia="zh-CN"/>
        </w:rPr>
      </w:pPr>
      <w:r>
        <w:t>5</w:t>
      </w:r>
      <w:r>
        <w:tab/>
      </w:r>
      <w:r>
        <w:t>The problem that the UE is not configured with CORESET#0 should be resolved by RAN1 and captured in their specs, e.g. UE determines DCI 1-0 size by CORESET#0 if configured and by the width of the initial DL BWP otherwise.</w:t>
      </w:r>
    </w:p>
    <w:p>
      <w:pPr>
        <w:spacing w:before="156"/>
      </w:pPr>
      <w:r>
        <w:rPr>
          <w:rFonts w:hint="eastAsia"/>
          <w:lang w:val="en-US" w:eastAsia="zh-CN"/>
        </w:rPr>
        <w:t>For BWP Option2 operation, the larger bandwidth of initial BWP will be indicated in SIB1, and it is applicable right after reception of Msg4. I</w:t>
      </w:r>
      <w:r>
        <w:rPr>
          <w:rFonts w:hint="eastAsia"/>
        </w:rPr>
        <w:t xml:space="preserve">n this contribution, we </w:t>
      </w:r>
      <w:r>
        <w:rPr>
          <w:rFonts w:hint="eastAsia"/>
          <w:lang w:val="en-US" w:eastAsia="zh-CN"/>
        </w:rPr>
        <w:t>further discussed the remaining issues and shared our views</w:t>
      </w:r>
      <w:r>
        <w:rPr>
          <w:rFonts w:hint="eastAsia"/>
        </w:rPr>
        <w:t>.</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p>
      <w:pPr>
        <w:spacing w:before="156"/>
        <w:rPr>
          <w:rFonts w:hint="eastAsia"/>
          <w:highlight w:val="none"/>
          <w:lang w:val="en-US" w:eastAsia="zh-CN"/>
        </w:rPr>
      </w:pPr>
      <w:r>
        <w:rPr>
          <w:rFonts w:hint="eastAsia"/>
          <w:highlight w:val="none"/>
          <w:lang w:val="en-US" w:eastAsia="zh-CN"/>
        </w:rPr>
        <w:t xml:space="preserve">For 6-1 feature UEs, if network wants to configure a larger operating bandwidth towards UE at the beginning, and Option2 operation is selected in this case, network can indicate this large bandwidth in locationAndBandwith of initialDownlinkBWP in SIB1. </w:t>
      </w:r>
    </w:p>
    <w:p>
      <w:pPr>
        <w:spacing w:before="156"/>
        <w:rPr>
          <w:rFonts w:hint="eastAsia"/>
          <w:highlight w:val="none"/>
          <w:lang w:val="en-US" w:eastAsia="zh-CN"/>
        </w:rPr>
      </w:pPr>
      <w:r>
        <w:rPr>
          <w:rFonts w:hint="eastAsia"/>
          <w:highlight w:val="none"/>
          <w:lang w:val="en-US" w:eastAsia="zh-CN"/>
        </w:rPr>
        <w:t xml:space="preserve">Upon the on-going email discussion[1], companies are invited to discuss whether UE should use the SIB1 broadcast </w:t>
      </w:r>
      <w:r>
        <w:rPr>
          <w:rFonts w:hint="default"/>
          <w:highlight w:val="none"/>
          <w:lang w:val="en-US" w:eastAsia="zh-CN"/>
        </w:rPr>
        <w:t>“</w:t>
      </w:r>
      <w:r>
        <w:rPr>
          <w:rFonts w:hint="eastAsia"/>
          <w:highlight w:val="none"/>
          <w:lang w:val="en-US" w:eastAsia="zh-CN"/>
        </w:rPr>
        <w:t>locationAndBandwidth</w:t>
      </w:r>
      <w:r>
        <w:rPr>
          <w:rFonts w:hint="default"/>
          <w:highlight w:val="none"/>
          <w:lang w:val="en-US" w:eastAsia="zh-CN"/>
        </w:rPr>
        <w:t>”</w:t>
      </w:r>
      <w:r>
        <w:rPr>
          <w:rFonts w:hint="eastAsia"/>
          <w:highlight w:val="none"/>
          <w:lang w:val="en-US" w:eastAsia="zh-CN"/>
        </w:rPr>
        <w:t xml:space="preserve"> for cell accessibility check, and assume the cell as </w:t>
      </w:r>
      <w:r>
        <w:rPr>
          <w:rFonts w:hint="default"/>
          <w:highlight w:val="none"/>
          <w:lang w:val="en-US" w:eastAsia="zh-CN"/>
        </w:rPr>
        <w:t>“</w:t>
      </w:r>
      <w:r>
        <w:rPr>
          <w:rFonts w:hint="eastAsia"/>
          <w:highlight w:val="none"/>
          <w:lang w:val="en-US" w:eastAsia="zh-CN"/>
        </w:rPr>
        <w:t>bar</w:t>
      </w:r>
      <w:r>
        <w:rPr>
          <w:rFonts w:hint="default"/>
          <w:highlight w:val="none"/>
          <w:lang w:val="en-US" w:eastAsia="zh-CN"/>
        </w:rPr>
        <w:t>”</w:t>
      </w:r>
      <w:r>
        <w:rPr>
          <w:rFonts w:hint="eastAsia"/>
          <w:highlight w:val="none"/>
          <w:lang w:val="en-US" w:eastAsia="zh-CN"/>
        </w:rPr>
        <w:t xml:space="preserve"> when this broadcast bandwidth is beyond UE</w:t>
      </w:r>
      <w:r>
        <w:rPr>
          <w:rFonts w:hint="default"/>
          <w:highlight w:val="none"/>
          <w:lang w:val="en-US" w:eastAsia="zh-CN"/>
        </w:rPr>
        <w:t>’</w:t>
      </w:r>
      <w:r>
        <w:rPr>
          <w:rFonts w:hint="eastAsia"/>
          <w:highlight w:val="none"/>
          <w:lang w:val="en-US" w:eastAsia="zh-CN"/>
        </w:rPr>
        <w:t xml:space="preserve">s capability. Considering this field is included in SIB1 and is applicable to all UEs, from network perspective, the key issue is how to determine the maximum bandwidth that supported by all UEs. </w:t>
      </w:r>
    </w:p>
    <w:p>
      <w:pPr>
        <w:spacing w:before="156"/>
        <w:rPr>
          <w:rFonts w:hint="eastAsia"/>
          <w:highlight w:val="none"/>
          <w:lang w:val="en-US" w:eastAsia="zh-CN"/>
        </w:rPr>
      </w:pPr>
      <w:r>
        <w:rPr>
          <w:rFonts w:hint="eastAsia"/>
          <w:highlight w:val="none"/>
          <w:lang w:val="en-US" w:eastAsia="zh-CN"/>
        </w:rPr>
        <w:t xml:space="preserve">In the latest TS38.101-1, RAN4 has defined a Table 5.3.5-1 to represent the supported channel bandwidths upon each SCS and operation bands(as shown in Annex1). After RAN plenary meeting, it is confirmed that the combinations(blocks) marked as </w:t>
      </w:r>
      <w:r>
        <w:rPr>
          <w:rFonts w:hint="default"/>
          <w:highlight w:val="none"/>
          <w:lang w:val="en-US" w:eastAsia="zh-CN"/>
        </w:rPr>
        <w:t>“</w:t>
      </w:r>
      <w:r>
        <w:rPr>
          <w:rFonts w:hint="eastAsia"/>
          <w:highlight w:val="none"/>
          <w:lang w:val="en-US" w:eastAsia="zh-CN"/>
        </w:rPr>
        <w:t>Yes</w:t>
      </w:r>
      <w:r>
        <w:rPr>
          <w:rFonts w:hint="default"/>
          <w:highlight w:val="none"/>
          <w:lang w:val="en-US" w:eastAsia="zh-CN"/>
        </w:rPr>
        <w:t>”</w:t>
      </w:r>
      <w:r>
        <w:rPr>
          <w:rFonts w:hint="eastAsia"/>
          <w:highlight w:val="none"/>
          <w:lang w:val="en-US" w:eastAsia="zh-CN"/>
        </w:rPr>
        <w:t xml:space="preserve"> in the table should be mandatory supported by all single connection UEs that can operate on that band. This implies that, with this pre-defined table, for a specific band and SCS, network is able to know the maximum channel bandwidth supported by all UEs. For example, band77 and 60kHz capable UEs must support 100MHz channel bandwidth. Therefore, for Option2 operation, smart network will not configure the locationAndBandwidth exceed UE capability in SIB1. </w:t>
      </w:r>
    </w:p>
    <w:p>
      <w:pPr>
        <w:spacing w:before="156"/>
        <w:ind w:left="1265" w:leftChars="0" w:hanging="1265" w:hangingChars="600"/>
        <w:rPr>
          <w:rFonts w:hint="eastAsia"/>
          <w:highlight w:val="none"/>
          <w:lang w:val="en-US" w:eastAsia="zh-CN"/>
        </w:rPr>
      </w:pPr>
      <w:r>
        <w:rPr>
          <w:rFonts w:hint="eastAsia"/>
          <w:b/>
          <w:lang w:val="en-US" w:eastAsia="zh-CN"/>
        </w:rPr>
        <w:t>Observation1</w:t>
      </w:r>
      <w:r>
        <w:rPr>
          <w:rFonts w:hint="eastAsia"/>
          <w:b/>
        </w:rPr>
        <w:t xml:space="preserve">: </w:t>
      </w:r>
      <w:r>
        <w:rPr>
          <w:rFonts w:hint="eastAsia"/>
          <w:b/>
          <w:lang w:val="en-US" w:eastAsia="zh-CN"/>
        </w:rPr>
        <w:t>For a given band and SCS, the UE mandatory supported channel bandwidths are pre-defined in RAN4 specification. Network can based on these values to determine the maximum bandwidth of initial DL/UL BWPs in SIB1.</w:t>
      </w:r>
    </w:p>
    <w:p>
      <w:pPr>
        <w:spacing w:before="156"/>
        <w:rPr>
          <w:rFonts w:hint="eastAsia"/>
          <w:highlight w:val="none"/>
          <w:lang w:val="en-US" w:eastAsia="zh-CN"/>
        </w:rPr>
      </w:pPr>
      <w:r>
        <w:rPr>
          <w:rFonts w:hint="eastAsia"/>
          <w:highlight w:val="none"/>
          <w:lang w:val="en-US" w:eastAsia="zh-CN"/>
        </w:rPr>
        <w:t xml:space="preserve">However, after checking TS38.101-1 Table5.5A.1-1 and Table5.5A.1-2(as shown in Annex2), the UE may not support some certain value of channel bandwidths when operating in intra-band CA. For instance, an band77 capable UE may support maximum 100MHz channel bandwidth in NR SA, but if UE only support intra-band CA with CA-bandclassNR set to </w:t>
      </w:r>
      <w:r>
        <w:rPr>
          <w:rFonts w:hint="default"/>
          <w:highlight w:val="none"/>
          <w:lang w:val="en-US" w:eastAsia="zh-CN"/>
        </w:rPr>
        <w:t>“</w:t>
      </w:r>
      <w:r>
        <w:rPr>
          <w:rFonts w:hint="eastAsia"/>
          <w:highlight w:val="none"/>
          <w:lang w:val="en-US" w:eastAsia="zh-CN"/>
        </w:rPr>
        <w:t>g</w:t>
      </w:r>
      <w:r>
        <w:rPr>
          <w:rFonts w:hint="default"/>
          <w:highlight w:val="none"/>
          <w:lang w:val="en-US" w:eastAsia="zh-CN"/>
        </w:rPr>
        <w:t>”</w:t>
      </w:r>
      <w:r>
        <w:rPr>
          <w:rFonts w:hint="eastAsia"/>
          <w:highlight w:val="none"/>
          <w:lang w:val="en-US" w:eastAsia="zh-CN"/>
        </w:rPr>
        <w:t>, the maximum bandwidth of one component carrier becomes 50MHz. Which means if UE operates on an 100MHz PCell when enters RRC_Connected, network may have to reduce the bandwidth of PCell when adding SCells.</w:t>
      </w:r>
    </w:p>
    <w:p>
      <w:pPr>
        <w:spacing w:before="156"/>
        <w:ind w:left="1265" w:leftChars="0" w:hanging="1265" w:hangingChars="600"/>
        <w:rPr>
          <w:rFonts w:hint="eastAsia"/>
          <w:highlight w:val="none"/>
          <w:lang w:val="en-US" w:eastAsia="zh-CN"/>
        </w:rPr>
      </w:pPr>
      <w:r>
        <w:rPr>
          <w:rFonts w:hint="eastAsia"/>
          <w:b/>
          <w:lang w:val="en-US" w:eastAsia="zh-CN"/>
        </w:rPr>
        <w:t>Observation2</w:t>
      </w:r>
      <w:r>
        <w:rPr>
          <w:rFonts w:hint="eastAsia"/>
          <w:b/>
        </w:rPr>
        <w:t xml:space="preserve">: </w:t>
      </w:r>
      <w:r>
        <w:rPr>
          <w:rFonts w:hint="eastAsia"/>
          <w:b/>
          <w:lang w:val="en-US" w:eastAsia="zh-CN"/>
        </w:rPr>
        <w:t>In case of CA, network may be required to reconfigure the bandwidth of PCell due the change of the maximum supported bandwidth.</w:t>
      </w:r>
    </w:p>
    <w:p>
      <w:pPr>
        <w:spacing w:before="156"/>
        <w:rPr>
          <w:rFonts w:hint="eastAsia"/>
          <w:highlight w:val="none"/>
          <w:lang w:val="en-US" w:eastAsia="zh-CN"/>
        </w:rPr>
      </w:pPr>
      <w:r>
        <w:rPr>
          <w:rFonts w:hint="eastAsia"/>
          <w:highlight w:val="none"/>
          <w:lang w:val="en-US" w:eastAsia="zh-CN"/>
        </w:rPr>
        <w:t>In addition, in real deployment, different UEs may have different service requirement and data throughput, then for option2 cells, since the same bandwidth will be used for all UEs, it is hard to fulfill the requirement of all UEs. So at least we think it should be allowed for network to re-configure the locationAndBandwidth of initial BWP during RRC connection period. On the other hand, this can only be done by reconfigurationWithSync due to the locationAndBandwidth of initial BWP is only included in ServingCellConfigCommon.</w:t>
      </w:r>
    </w:p>
    <w:p>
      <w:pPr>
        <w:spacing w:before="156" w:after="156" w:afterLines="50"/>
        <w:ind w:left="1202" w:hanging="1202" w:hangingChars="570"/>
        <w:rPr>
          <w:rFonts w:hint="eastAsia"/>
          <w:lang w:val="en-US" w:eastAsia="zh-CN"/>
        </w:rPr>
      </w:pPr>
      <w:r>
        <w:rPr>
          <w:rFonts w:hint="eastAsia"/>
          <w:b/>
          <w:lang w:val="en-US" w:eastAsia="zh-CN"/>
        </w:rPr>
        <w:t>Proposal 1</w:t>
      </w:r>
      <w:r>
        <w:rPr>
          <w:rFonts w:hint="eastAsia"/>
          <w:b/>
        </w:rPr>
        <w:t xml:space="preserve">: </w:t>
      </w:r>
      <w:r>
        <w:rPr>
          <w:rFonts w:hint="eastAsia"/>
          <w:b/>
        </w:rPr>
        <w:tab/>
      </w:r>
      <w:r>
        <w:rPr>
          <w:rFonts w:hint="eastAsia"/>
          <w:b/>
          <w:lang w:val="en-US" w:eastAsia="zh-CN"/>
        </w:rPr>
        <w:t xml:space="preserve">At least in BWP Option2 operation, network is allowed to re-configure the locationAndBandwidth of initial DL/UL BWP within in same cell during RRC connection period. </w:t>
      </w:r>
    </w:p>
    <w:p>
      <w:pPr>
        <w:spacing w:before="156"/>
        <w:rPr>
          <w:rFonts w:hint="eastAsia"/>
          <w:highlight w:val="none"/>
          <w:lang w:val="en-US" w:eastAsia="zh-CN"/>
        </w:rPr>
      </w:pPr>
      <w:r>
        <w:rPr>
          <w:rFonts w:hint="eastAsia"/>
          <w:highlight w:val="none"/>
          <w:lang w:val="en-US" w:eastAsia="zh-CN"/>
        </w:rPr>
        <w:t xml:space="preserve">Comparing with BWP Option1 operation(per-UE execution), the limitation and drawback of Option2 is obvious. If proposal1 can be agreed, the follow up issue would be the mismatch between the common field in RRC dedicated signaling and the common field in system information. In any case, it should be clarified in specification that, when UE receives the common configurations from SIB1, it should not override the common field from dedicated RRC signalling during RRC connection period. </w:t>
      </w:r>
    </w:p>
    <w:p>
      <w:pPr>
        <w:spacing w:before="156" w:after="156" w:afterLines="50"/>
        <w:ind w:left="1202" w:hanging="1202" w:hangingChars="570"/>
        <w:rPr>
          <w:rFonts w:hint="eastAsia"/>
          <w:highlight w:val="none"/>
          <w:lang w:val="en-US" w:eastAsia="zh-CN"/>
        </w:rPr>
      </w:pPr>
      <w:r>
        <w:rPr>
          <w:rFonts w:hint="eastAsia"/>
          <w:b/>
          <w:lang w:val="en-US" w:eastAsia="zh-CN"/>
        </w:rPr>
        <w:t>Proposal 2</w:t>
      </w:r>
      <w:r>
        <w:rPr>
          <w:rFonts w:hint="eastAsia"/>
          <w:b/>
        </w:rPr>
        <w:t xml:space="preserve">: </w:t>
      </w:r>
      <w:r>
        <w:rPr>
          <w:rFonts w:hint="eastAsia"/>
          <w:b/>
        </w:rPr>
        <w:tab/>
      </w:r>
      <w:r>
        <w:rPr>
          <w:rFonts w:hint="eastAsia"/>
          <w:b/>
          <w:lang w:val="en-US" w:eastAsia="zh-CN"/>
        </w:rPr>
        <w:t xml:space="preserve">In BWP Option2 operation(i.e. the locationAndBandwidth of initial BWP is different from CORESET#0), UE should not override the servingCellConfigCommon received from dedicated RRC signalling when receives the same field from SIB1 later. </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spacing w:before="156"/>
      </w:pPr>
      <w:r>
        <w:rPr>
          <w:sz w:val="22"/>
        </w:rPr>
        <w:t xml:space="preserve">RAN2 is kindly </w:t>
      </w:r>
      <w:r>
        <w:rPr>
          <w:rFonts w:hint="eastAsia"/>
        </w:rPr>
        <w:t xml:space="preserve">asked </w:t>
      </w:r>
      <w:r>
        <w:rPr>
          <w:sz w:val="22"/>
        </w:rPr>
        <w:t>to discuss and adopt the following proposal</w:t>
      </w:r>
      <w:r>
        <w:t>:</w:t>
      </w:r>
    </w:p>
    <w:p>
      <w:pPr>
        <w:spacing w:before="156"/>
        <w:ind w:left="1265" w:leftChars="0" w:hanging="1265" w:hangingChars="600"/>
        <w:rPr>
          <w:rFonts w:hint="eastAsia"/>
          <w:highlight w:val="none"/>
          <w:lang w:val="en-US" w:eastAsia="zh-CN"/>
        </w:rPr>
      </w:pPr>
      <w:r>
        <w:rPr>
          <w:rFonts w:hint="eastAsia"/>
          <w:b/>
          <w:lang w:val="en-US" w:eastAsia="zh-CN"/>
        </w:rPr>
        <w:t>Observation1</w:t>
      </w:r>
      <w:r>
        <w:rPr>
          <w:rFonts w:hint="eastAsia"/>
          <w:b/>
        </w:rPr>
        <w:t xml:space="preserve">: </w:t>
      </w:r>
      <w:r>
        <w:rPr>
          <w:rFonts w:hint="eastAsia"/>
          <w:b/>
          <w:lang w:val="en-US" w:eastAsia="zh-CN"/>
        </w:rPr>
        <w:t>For a given band and SCS, the UE mandatory supported channel bandwidths are pre-defined in RAN4 specification. Network can based on these values to determine the maximum bandwidth of initial DL/UL BWPs in SIB1.</w:t>
      </w:r>
    </w:p>
    <w:p>
      <w:pPr>
        <w:spacing w:before="156"/>
        <w:ind w:left="1265" w:leftChars="0" w:hanging="1265" w:hangingChars="600"/>
        <w:rPr>
          <w:rFonts w:hint="eastAsia"/>
          <w:highlight w:val="none"/>
          <w:lang w:val="en-US" w:eastAsia="zh-CN"/>
        </w:rPr>
      </w:pPr>
      <w:r>
        <w:rPr>
          <w:rFonts w:hint="eastAsia"/>
          <w:b/>
          <w:lang w:val="en-US" w:eastAsia="zh-CN"/>
        </w:rPr>
        <w:t>Observation2</w:t>
      </w:r>
      <w:r>
        <w:rPr>
          <w:rFonts w:hint="eastAsia"/>
          <w:b/>
        </w:rPr>
        <w:t xml:space="preserve">: </w:t>
      </w:r>
      <w:r>
        <w:rPr>
          <w:rFonts w:hint="eastAsia"/>
          <w:b/>
          <w:lang w:val="en-US" w:eastAsia="zh-CN"/>
        </w:rPr>
        <w:t>In case of CA, network may be required to reconfigure the bandwidth of PCell due the change of the maximum supported bandwidth.</w:t>
      </w:r>
    </w:p>
    <w:p>
      <w:pPr>
        <w:spacing w:before="156" w:after="156" w:afterLines="50"/>
        <w:ind w:left="1202" w:hanging="1202" w:hangingChars="570"/>
        <w:rPr>
          <w:rFonts w:hint="eastAsia"/>
          <w:lang w:val="en-US" w:eastAsia="zh-CN"/>
        </w:rPr>
      </w:pPr>
      <w:r>
        <w:rPr>
          <w:rFonts w:hint="eastAsia"/>
          <w:b/>
          <w:lang w:val="en-US" w:eastAsia="zh-CN"/>
        </w:rPr>
        <w:t>Proposal 1</w:t>
      </w:r>
      <w:r>
        <w:rPr>
          <w:rFonts w:hint="eastAsia"/>
          <w:b/>
        </w:rPr>
        <w:t xml:space="preserve">: </w:t>
      </w:r>
      <w:r>
        <w:rPr>
          <w:rFonts w:hint="eastAsia"/>
          <w:b/>
        </w:rPr>
        <w:tab/>
      </w:r>
      <w:r>
        <w:rPr>
          <w:rFonts w:hint="eastAsia"/>
          <w:b/>
          <w:lang w:val="en-US" w:eastAsia="zh-CN"/>
        </w:rPr>
        <w:t xml:space="preserve">At least in BWP Option2 operation, network is allowed to re-configure the locationAndBandwidth IE of initial DL/UL BWP within in same cell during RRC connection period. </w:t>
      </w:r>
    </w:p>
    <w:p>
      <w:pPr>
        <w:spacing w:before="156" w:after="156" w:afterLines="50"/>
        <w:ind w:left="1202" w:hanging="1202" w:hangingChars="570"/>
        <w:rPr>
          <w:rFonts w:hint="eastAsia"/>
          <w:highlight w:val="none"/>
          <w:lang w:val="en-US" w:eastAsia="zh-CN"/>
        </w:rPr>
      </w:pPr>
      <w:r>
        <w:rPr>
          <w:rFonts w:hint="eastAsia"/>
          <w:b/>
          <w:lang w:val="en-US" w:eastAsia="zh-CN"/>
        </w:rPr>
        <w:t>Proposal 2</w:t>
      </w:r>
      <w:r>
        <w:rPr>
          <w:rFonts w:hint="eastAsia"/>
          <w:b/>
        </w:rPr>
        <w:t xml:space="preserve">: </w:t>
      </w:r>
      <w:r>
        <w:rPr>
          <w:rFonts w:hint="eastAsia"/>
          <w:b/>
        </w:rPr>
        <w:tab/>
      </w:r>
      <w:r>
        <w:rPr>
          <w:rFonts w:hint="eastAsia"/>
          <w:b/>
          <w:lang w:val="en-US" w:eastAsia="zh-CN"/>
        </w:rPr>
        <w:t xml:space="preserve">In BWP Option2 operation(i.e. the locationAndBandwidth of initial BWP is different from CORESET#0), UE should not override the servingCellConfigCommon received from dedicated RRC signalling when receives the same field from SIB1 later. </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Reference</w:t>
      </w:r>
    </w:p>
    <w:p>
      <w:pPr>
        <w:numPr>
          <w:ilvl w:val="0"/>
          <w:numId w:val="4"/>
        </w:numPr>
        <w:rPr>
          <w:rFonts w:hint="eastAsia"/>
          <w:lang w:val="en-US" w:eastAsia="zh-CN"/>
        </w:rPr>
      </w:pPr>
      <w:r>
        <w:rPr>
          <w:rFonts w:hint="eastAsia"/>
          <w:lang w:val="en-US" w:eastAsia="zh-CN"/>
        </w:rPr>
        <w:t>Email discussion [103bis#14][NR] Channel bandwidth signalling</w:t>
      </w:r>
    </w:p>
    <w:p>
      <w:pPr>
        <w:pStyle w:val="2"/>
        <w:widowControl/>
        <w:numPr>
          <w:ilvl w:val="0"/>
          <w:numId w:val="0"/>
        </w:numPr>
        <w:pBdr>
          <w:top w:val="single" w:color="auto" w:sz="12" w:space="3"/>
        </w:pBdr>
        <w:tabs>
          <w:tab w:val="clear" w:pos="432"/>
        </w:tabs>
        <w:overflowPunct w:val="0"/>
        <w:autoSpaceDE w:val="0"/>
        <w:autoSpaceDN w:val="0"/>
        <w:adjustRightInd w:val="0"/>
        <w:spacing w:before="156" w:after="180" w:line="240" w:lineRule="auto"/>
        <w:ind w:leftChars="0"/>
        <w:jc w:val="left"/>
        <w:textAlignment w:val="baseline"/>
        <w:rPr>
          <w:rFonts w:ascii="Arial" w:hAnsi="Arial" w:cs="Arial"/>
          <w:b w:val="0"/>
          <w:bCs w:val="0"/>
          <w:kern w:val="0"/>
          <w:sz w:val="32"/>
          <w:szCs w:val="36"/>
          <w:lang w:val="en-US"/>
        </w:rPr>
      </w:pPr>
      <w:r>
        <w:rPr>
          <w:rFonts w:hint="eastAsia" w:ascii="Arial" w:hAnsi="Arial" w:cs="Arial"/>
          <w:b w:val="0"/>
          <w:bCs w:val="0"/>
          <w:kern w:val="0"/>
          <w:sz w:val="32"/>
          <w:szCs w:val="36"/>
          <w:lang w:val="en-US" w:eastAsia="zh-CN"/>
        </w:rPr>
        <w:t>Annex1</w:t>
      </w:r>
    </w:p>
    <w:p>
      <w:pPr>
        <w:rPr>
          <w:b/>
          <w:bCs/>
          <w:color w:val="C00000"/>
        </w:rPr>
      </w:pPr>
      <w:r>
        <w:rPr>
          <w:rFonts w:hint="eastAsia"/>
          <w:b/>
          <w:bCs/>
          <w:color w:val="C00000"/>
          <w:lang w:val="en-US" w:eastAsia="zh-CN"/>
        </w:rPr>
        <w:t>TS38.101-1 f.3.0</w:t>
      </w:r>
      <w:bookmarkStart w:id="2" w:name="_Toc526340220"/>
    </w:p>
    <w:p>
      <w:pPr>
        <w:pStyle w:val="4"/>
        <w:numPr>
          <w:ilvl w:val="2"/>
          <w:numId w:val="0"/>
        </w:numPr>
        <w:tabs>
          <w:tab w:val="left" w:pos="575"/>
        </w:tabs>
        <w:ind w:leftChars="0"/>
        <w:rPr>
          <w:sz w:val="24"/>
          <w:szCs w:val="24"/>
        </w:rPr>
      </w:pPr>
      <w:r>
        <w:rPr>
          <w:sz w:val="24"/>
          <w:szCs w:val="24"/>
        </w:rPr>
        <w:t>5.3.5</w:t>
      </w:r>
      <w:r>
        <w:rPr>
          <w:sz w:val="24"/>
          <w:szCs w:val="24"/>
        </w:rPr>
        <w:tab/>
      </w:r>
      <w:r>
        <w:rPr>
          <w:sz w:val="24"/>
          <w:szCs w:val="24"/>
        </w:rPr>
        <w:t>UE channel bandwidth per operating band</w:t>
      </w:r>
      <w:bookmarkEnd w:id="2"/>
    </w:p>
    <w:p>
      <w:pPr>
        <w:rPr>
          <w:rFonts w:eastAsia="Yu Mincho"/>
        </w:rPr>
      </w:pPr>
      <w:r>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pPr>
        <w:pStyle w:val="88"/>
        <w:rPr>
          <w:rFonts w:eastAsia="Yu Mincho"/>
        </w:rPr>
      </w:pPr>
      <w:r>
        <w:rPr>
          <w:rFonts w:eastAsia="Yu Mincho"/>
        </w:rPr>
        <w:t>Table 5.3.5-1 Channel bandwidths for each NR band</w:t>
      </w:r>
    </w:p>
    <w:tbl>
      <w:tblPr>
        <w:tblStyle w:val="64"/>
        <w:tblW w:w="9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587"/>
        <w:gridCol w:w="640"/>
        <w:gridCol w:w="736"/>
        <w:gridCol w:w="700"/>
        <w:gridCol w:w="705"/>
        <w:gridCol w:w="705"/>
        <w:gridCol w:w="677"/>
        <w:gridCol w:w="677"/>
        <w:gridCol w:w="677"/>
        <w:gridCol w:w="677"/>
        <w:gridCol w:w="681"/>
        <w:gridCol w:w="677"/>
        <w:gridCol w:w="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blHeader/>
          <w:jc w:val="center"/>
        </w:trPr>
        <w:tc>
          <w:tcPr>
            <w:tcW w:w="777" w:type="dxa"/>
          </w:tcPr>
          <w:p>
            <w:pPr>
              <w:pStyle w:val="200"/>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8852" w:type="dxa"/>
            <w:gridSpan w:val="13"/>
          </w:tcPr>
          <w:p>
            <w:pPr>
              <w:pStyle w:val="200"/>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NR band / SCS / UE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tblHeader/>
          <w:jc w:val="center"/>
        </w:trPr>
        <w:tc>
          <w:tcPr>
            <w:tcW w:w="777" w:type="dxa"/>
            <w:vAlign w:val="center"/>
          </w:tcPr>
          <w:p>
            <w:pPr>
              <w:pStyle w:val="200"/>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NR Band</w:t>
            </w:r>
          </w:p>
        </w:tc>
        <w:tc>
          <w:tcPr>
            <w:tcW w:w="587" w:type="dxa"/>
            <w:vAlign w:val="center"/>
          </w:tcPr>
          <w:p>
            <w:pPr>
              <w:pStyle w:val="200"/>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SCS</w:t>
            </w:r>
          </w:p>
          <w:p>
            <w:pPr>
              <w:pStyle w:val="200"/>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kHz</w:t>
            </w:r>
          </w:p>
        </w:tc>
        <w:tc>
          <w:tcPr>
            <w:tcW w:w="640" w:type="dxa"/>
            <w:vAlign w:val="center"/>
          </w:tcPr>
          <w:p>
            <w:pPr>
              <w:pStyle w:val="200"/>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5 MHz</w:t>
            </w:r>
          </w:p>
        </w:tc>
        <w:tc>
          <w:tcPr>
            <w:tcW w:w="736" w:type="dxa"/>
            <w:vAlign w:val="center"/>
          </w:tcPr>
          <w:p>
            <w:pPr>
              <w:pStyle w:val="200"/>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10</w:t>
            </w:r>
            <w:r>
              <w:rPr>
                <w:rFonts w:hint="default" w:eastAsia="Yu Mincho"/>
                <w:vertAlign w:val="superscript"/>
              </w:rPr>
              <w:t>1,2</w:t>
            </w:r>
            <w:r>
              <w:rPr>
                <w:rFonts w:hint="default" w:eastAsia="Yu Mincho"/>
              </w:rPr>
              <w:t xml:space="preserve"> MHz</w:t>
            </w:r>
          </w:p>
        </w:tc>
        <w:tc>
          <w:tcPr>
            <w:tcW w:w="700" w:type="dxa"/>
            <w:vAlign w:val="center"/>
          </w:tcPr>
          <w:p>
            <w:pPr>
              <w:pStyle w:val="200"/>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15</w:t>
            </w:r>
            <w:r>
              <w:rPr>
                <w:rFonts w:hint="default" w:eastAsia="Yu Mincho"/>
                <w:vertAlign w:val="superscript"/>
              </w:rPr>
              <w:t>2</w:t>
            </w:r>
            <w:r>
              <w:rPr>
                <w:rFonts w:hint="default" w:eastAsia="Yu Mincho"/>
              </w:rPr>
              <w:t xml:space="preserve"> MHz</w:t>
            </w:r>
          </w:p>
        </w:tc>
        <w:tc>
          <w:tcPr>
            <w:tcW w:w="705" w:type="dxa"/>
            <w:vAlign w:val="center"/>
          </w:tcPr>
          <w:p>
            <w:pPr>
              <w:pStyle w:val="200"/>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20</w:t>
            </w:r>
            <w:r>
              <w:rPr>
                <w:rFonts w:hint="default" w:eastAsia="Yu Mincho"/>
                <w:vertAlign w:val="superscript"/>
              </w:rPr>
              <w:t>2</w:t>
            </w:r>
            <w:r>
              <w:rPr>
                <w:rFonts w:hint="default" w:eastAsia="Yu Mincho"/>
              </w:rPr>
              <w:t xml:space="preserve"> MHz</w:t>
            </w:r>
          </w:p>
        </w:tc>
        <w:tc>
          <w:tcPr>
            <w:tcW w:w="705" w:type="dxa"/>
            <w:vAlign w:val="center"/>
          </w:tcPr>
          <w:p>
            <w:pPr>
              <w:pStyle w:val="200"/>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25</w:t>
            </w:r>
            <w:r>
              <w:rPr>
                <w:rFonts w:hint="default" w:eastAsia="Yu Mincho"/>
                <w:vertAlign w:val="superscript"/>
              </w:rPr>
              <w:t>2</w:t>
            </w:r>
            <w:r>
              <w:rPr>
                <w:rFonts w:hint="default" w:eastAsia="Yu Mincho"/>
              </w:rPr>
              <w:t xml:space="preserve"> MHz</w:t>
            </w:r>
          </w:p>
        </w:tc>
        <w:tc>
          <w:tcPr>
            <w:tcW w:w="677" w:type="dxa"/>
          </w:tcPr>
          <w:p>
            <w:pPr>
              <w:pStyle w:val="200"/>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30 MHz</w:t>
            </w:r>
          </w:p>
        </w:tc>
        <w:tc>
          <w:tcPr>
            <w:tcW w:w="677" w:type="dxa"/>
            <w:vAlign w:val="center"/>
          </w:tcPr>
          <w:p>
            <w:pPr>
              <w:pStyle w:val="200"/>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40 MHz</w:t>
            </w:r>
          </w:p>
        </w:tc>
        <w:tc>
          <w:tcPr>
            <w:tcW w:w="677" w:type="dxa"/>
            <w:vAlign w:val="center"/>
          </w:tcPr>
          <w:p>
            <w:pPr>
              <w:pStyle w:val="200"/>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50 MHz</w:t>
            </w:r>
          </w:p>
        </w:tc>
        <w:tc>
          <w:tcPr>
            <w:tcW w:w="677" w:type="dxa"/>
            <w:vAlign w:val="center"/>
          </w:tcPr>
          <w:p>
            <w:pPr>
              <w:pStyle w:val="200"/>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60 MHz</w:t>
            </w:r>
          </w:p>
        </w:tc>
        <w:tc>
          <w:tcPr>
            <w:tcW w:w="681" w:type="dxa"/>
            <w:vAlign w:val="center"/>
          </w:tcPr>
          <w:p>
            <w:pPr>
              <w:pStyle w:val="200"/>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80 MHz</w:t>
            </w:r>
          </w:p>
        </w:tc>
        <w:tc>
          <w:tcPr>
            <w:tcW w:w="677" w:type="dxa"/>
          </w:tcPr>
          <w:p>
            <w:pPr>
              <w:pStyle w:val="200"/>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90 MHz</w:t>
            </w:r>
          </w:p>
        </w:tc>
        <w:tc>
          <w:tcPr>
            <w:tcW w:w="713" w:type="dxa"/>
            <w:vAlign w:val="center"/>
          </w:tcPr>
          <w:p>
            <w:pPr>
              <w:pStyle w:val="200"/>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restart"/>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n1</w:t>
            </w: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15</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sz w:val="20"/>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sz w:val="20"/>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sz w:val="20"/>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sz w:val="20"/>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sz w:val="20"/>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sz w:val="20"/>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30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sz w:val="20"/>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sz w:val="20"/>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sz w:val="20"/>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sz w:val="20"/>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sz w:val="20"/>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sz w:val="20"/>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60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sz w:val="20"/>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sz w:val="20"/>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sz w:val="20"/>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sz w:val="20"/>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sz w:val="20"/>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sz w:val="20"/>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restart"/>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n2</w:t>
            </w: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ascii="Calibri" w:hAnsi="Calibri" w:eastAsia="Yu Mincho"/>
                <w:sz w:val="22"/>
              </w:rPr>
            </w:pPr>
            <w:r>
              <w:rPr>
                <w:rFonts w:hint="default" w:eastAsia="Yu Mincho"/>
              </w:rPr>
              <w:t>15</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30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60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restart"/>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n3</w:t>
            </w: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15</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30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60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restart"/>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n5</w:t>
            </w: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15</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30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60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restart"/>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n7</w:t>
            </w: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15</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30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60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restart"/>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n8</w:t>
            </w: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15</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30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60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restart"/>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n12</w:t>
            </w:r>
          </w:p>
        </w:tc>
        <w:tc>
          <w:tcPr>
            <w:tcW w:w="58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15</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30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60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restart"/>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n20</w:t>
            </w: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15</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30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60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restart"/>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n25</w:t>
            </w:r>
          </w:p>
        </w:tc>
        <w:tc>
          <w:tcPr>
            <w:tcW w:w="58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15</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5"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30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5"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60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5"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restart"/>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n28</w:t>
            </w: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15</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30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60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restart"/>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n34</w:t>
            </w:r>
          </w:p>
        </w:tc>
        <w:tc>
          <w:tcPr>
            <w:tcW w:w="58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15</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30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60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restart"/>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n38</w:t>
            </w: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15</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30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60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restart"/>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n39</w:t>
            </w:r>
          </w:p>
        </w:tc>
        <w:tc>
          <w:tcPr>
            <w:tcW w:w="58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15</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5"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5"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30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5"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5"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60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5"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5"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restart"/>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n40</w:t>
            </w:r>
          </w:p>
        </w:tc>
        <w:tc>
          <w:tcPr>
            <w:tcW w:w="58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15</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5"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5"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30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5"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5"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681"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60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5"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5"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681"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restart"/>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n41</w:t>
            </w: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15</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30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60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restart"/>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n50</w:t>
            </w: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15</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30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r>
              <w:rPr>
                <w:rFonts w:hint="default" w:eastAsia="Yu Mincho"/>
                <w:vertAlign w:val="superscript"/>
              </w:rPr>
              <w:t>3</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60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r>
              <w:rPr>
                <w:rFonts w:hint="default" w:eastAsia="Yu Mincho"/>
                <w:vertAlign w:val="superscript"/>
              </w:rPr>
              <w:t>3</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restart"/>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n51</w:t>
            </w: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15</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30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60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restart"/>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n66</w:t>
            </w: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15</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30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60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restart"/>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n70</w:t>
            </w: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15</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r>
              <w:rPr>
                <w:rFonts w:hint="default" w:eastAsia="Yu Mincho"/>
                <w:vertAlign w:val="superscript"/>
              </w:rPr>
              <w:t>3</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r>
              <w:rPr>
                <w:rFonts w:hint="default" w:eastAsia="Yu Mincho"/>
                <w:vertAlign w:val="superscript"/>
              </w:rPr>
              <w:t>3</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30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r>
              <w:rPr>
                <w:rFonts w:hint="default" w:eastAsia="Yu Mincho"/>
                <w:vertAlign w:val="superscript"/>
              </w:rPr>
              <w:t>3</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r>
              <w:rPr>
                <w:rFonts w:hint="default" w:eastAsia="Yu Mincho"/>
                <w:vertAlign w:val="superscript"/>
              </w:rPr>
              <w:t>3</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60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r>
              <w:rPr>
                <w:rFonts w:hint="default" w:eastAsia="Yu Mincho"/>
                <w:vertAlign w:val="superscript"/>
              </w:rPr>
              <w:t>3</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r>
              <w:rPr>
                <w:rFonts w:hint="default" w:eastAsia="Yu Mincho"/>
                <w:vertAlign w:val="superscript"/>
              </w:rPr>
              <w:t>3</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restart"/>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n71</w:t>
            </w: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15</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30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60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restart"/>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n74</w:t>
            </w: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15</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30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60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restart"/>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n75</w:t>
            </w: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15</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30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60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restart"/>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n76</w:t>
            </w: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15</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30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60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restart"/>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n77</w:t>
            </w: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15</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30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60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restart"/>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n78</w:t>
            </w: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15</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30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60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restart"/>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n79</w:t>
            </w: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15</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30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60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restart"/>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n80</w:t>
            </w: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15</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30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60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restart"/>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n81</w:t>
            </w: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15</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30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60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restart"/>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n82</w:t>
            </w: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15</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30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60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restart"/>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n83</w:t>
            </w: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15</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30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60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restart"/>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n84</w:t>
            </w: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15</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36"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30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60</w:t>
            </w:r>
          </w:p>
        </w:tc>
        <w:tc>
          <w:tcPr>
            <w:tcW w:w="64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0"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restart"/>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eastAsia="Yu Mincho"/>
              </w:rPr>
              <w:t>n86</w:t>
            </w:r>
          </w:p>
        </w:tc>
        <w:tc>
          <w:tcPr>
            <w:tcW w:w="58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15</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5"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30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5"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777" w:type="dxa"/>
            <w:vMerge w:val="continue"/>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58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60</w:t>
            </w:r>
          </w:p>
        </w:tc>
        <w:tc>
          <w:tcPr>
            <w:tcW w:w="64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36"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0"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5"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705"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r>
              <w:rPr>
                <w:rFonts w:hint="default"/>
              </w:rPr>
              <w:t>Yes</w:t>
            </w: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81"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677" w:type="dxa"/>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c>
          <w:tcPr>
            <w:tcW w:w="713" w:type="dxa"/>
            <w:vAlign w:val="center"/>
          </w:tcPr>
          <w:p>
            <w:pPr>
              <w:pStyle w:val="201"/>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0" w:right="0"/>
              <w:textAlignment w:val="baseline"/>
              <w:outlineLvl w:val="9"/>
              <w:rPr>
                <w:rFonts w:hint="default"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9629" w:type="dxa"/>
            <w:gridSpan w:val="14"/>
          </w:tcPr>
          <w:p>
            <w:pPr>
              <w:pStyle w:val="26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850" w:right="0" w:hanging="850"/>
              <w:textAlignment w:val="baseline"/>
              <w:outlineLvl w:val="9"/>
              <w:rPr>
                <w:rFonts w:hint="default"/>
              </w:rPr>
            </w:pPr>
            <w:r>
              <w:rPr>
                <w:rFonts w:hint="default"/>
              </w:rPr>
              <w:t>NOTE 1:</w:t>
            </w:r>
            <w:r>
              <w:rPr>
                <w:rFonts w:hint="default"/>
              </w:rPr>
              <w:tab/>
            </w:r>
            <w:r>
              <w:rPr>
                <w:rFonts w:hint="eastAsia"/>
              </w:rPr>
              <w:t>90% spectrum utilization may not be achieved for 30kHz SCS.</w:t>
            </w:r>
          </w:p>
          <w:p>
            <w:pPr>
              <w:pStyle w:val="26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850" w:right="0" w:hanging="850"/>
              <w:textAlignment w:val="baseline"/>
              <w:outlineLvl w:val="9"/>
              <w:rPr>
                <w:rFonts w:hint="default"/>
              </w:rPr>
            </w:pPr>
            <w:r>
              <w:rPr>
                <w:rFonts w:hint="default"/>
              </w:rPr>
              <w:t>NOTE 2:</w:t>
            </w:r>
            <w:r>
              <w:rPr>
                <w:rFonts w:hint="default"/>
              </w:rPr>
              <w:tab/>
            </w:r>
            <w:r>
              <w:rPr>
                <w:rFonts w:hint="eastAsia"/>
              </w:rPr>
              <w:t>90% spectrum utilization may not be achieved for 60kHz SCS.</w:t>
            </w:r>
          </w:p>
          <w:p>
            <w:pPr>
              <w:pStyle w:val="264"/>
              <w:keepNext/>
              <w:keepLines/>
              <w:pageBreakBefore w:val="0"/>
              <w:widowControl/>
              <w:suppressLineNumbers w:val="0"/>
              <w:kinsoku/>
              <w:wordWrap/>
              <w:overflowPunct w:val="0"/>
              <w:topLinePunct w:val="0"/>
              <w:autoSpaceDE w:val="0"/>
              <w:autoSpaceDN w:val="0"/>
              <w:bidi w:val="0"/>
              <w:adjustRightInd w:val="0"/>
              <w:snapToGrid w:val="0"/>
              <w:spacing w:before="0" w:beforeLines="0" w:beforeAutospacing="0" w:after="0" w:afterAutospacing="0" w:line="240" w:lineRule="auto"/>
              <w:ind w:left="850" w:right="0" w:hanging="850"/>
              <w:textAlignment w:val="baseline"/>
              <w:outlineLvl w:val="9"/>
              <w:rPr>
                <w:rFonts w:hint="default" w:eastAsia="Yu Mincho"/>
              </w:rPr>
            </w:pPr>
            <w:r>
              <w:rPr>
                <w:rFonts w:hint="default" w:eastAsia="Yu Mincho"/>
              </w:rPr>
              <w:t>NOTE 3:</w:t>
            </w:r>
            <w:r>
              <w:rPr>
                <w:rFonts w:hint="default" w:eastAsia="Yu Mincho"/>
              </w:rPr>
              <w:tab/>
            </w:r>
            <w:r>
              <w:rPr>
                <w:rFonts w:hint="default" w:eastAsia="Yu Mincho"/>
              </w:rPr>
              <w:t xml:space="preserve">This UE channel bandwidth is applicable only to downlink. </w:t>
            </w:r>
          </w:p>
        </w:tc>
      </w:tr>
    </w:tbl>
    <w:p>
      <w:pPr>
        <w:pStyle w:val="2"/>
        <w:widowControl/>
        <w:numPr>
          <w:ilvl w:val="0"/>
          <w:numId w:val="0"/>
        </w:numPr>
        <w:pBdr>
          <w:top w:val="single" w:color="auto" w:sz="12" w:space="3"/>
        </w:pBdr>
        <w:tabs>
          <w:tab w:val="clear" w:pos="432"/>
        </w:tabs>
        <w:overflowPunct w:val="0"/>
        <w:autoSpaceDE w:val="0"/>
        <w:autoSpaceDN w:val="0"/>
        <w:adjustRightInd w:val="0"/>
        <w:spacing w:before="156" w:after="180" w:line="240" w:lineRule="auto"/>
        <w:ind w:leftChars="0"/>
        <w:jc w:val="left"/>
        <w:textAlignment w:val="baseline"/>
        <w:rPr>
          <w:rFonts w:ascii="Arial" w:hAnsi="Arial" w:cs="Arial"/>
          <w:b w:val="0"/>
          <w:bCs w:val="0"/>
          <w:kern w:val="0"/>
          <w:sz w:val="32"/>
          <w:szCs w:val="36"/>
          <w:lang w:val="en-US"/>
        </w:rPr>
      </w:pPr>
      <w:r>
        <w:rPr>
          <w:rFonts w:hint="eastAsia" w:ascii="Arial" w:hAnsi="Arial" w:cs="Arial"/>
          <w:b w:val="0"/>
          <w:bCs w:val="0"/>
          <w:kern w:val="0"/>
          <w:sz w:val="32"/>
          <w:szCs w:val="36"/>
          <w:lang w:val="en-US" w:eastAsia="zh-CN"/>
        </w:rPr>
        <w:t>Annex2</w:t>
      </w:r>
    </w:p>
    <w:p>
      <w:pPr>
        <w:rPr>
          <w:b/>
          <w:bCs/>
          <w:color w:val="C00000"/>
        </w:rPr>
      </w:pPr>
      <w:r>
        <w:rPr>
          <w:rFonts w:hint="eastAsia"/>
          <w:b/>
          <w:bCs/>
          <w:color w:val="C00000"/>
          <w:lang w:val="en-US" w:eastAsia="zh-CN"/>
        </w:rPr>
        <w:t>TS38.101-1 f.3.0</w:t>
      </w:r>
    </w:p>
    <w:p>
      <w:pPr>
        <w:pStyle w:val="3"/>
        <w:keepNext/>
        <w:keepLines/>
        <w:pageBreakBefore w:val="0"/>
        <w:widowControl/>
        <w:numPr>
          <w:ilvl w:val="1"/>
          <w:numId w:val="0"/>
        </w:numPr>
        <w:tabs>
          <w:tab w:val="clear" w:pos="575"/>
        </w:tabs>
        <w:kinsoku/>
        <w:wordWrap/>
        <w:overflowPunct w:val="0"/>
        <w:topLinePunct w:val="0"/>
        <w:autoSpaceDE w:val="0"/>
        <w:autoSpaceDN w:val="0"/>
        <w:bidi w:val="0"/>
        <w:adjustRightInd w:val="0"/>
        <w:snapToGrid w:val="0"/>
        <w:spacing w:before="0" w:beforeLines="0" w:line="240" w:lineRule="auto"/>
        <w:ind w:leftChars="0"/>
        <w:textAlignment w:val="baseline"/>
        <w:rPr>
          <w:sz w:val="28"/>
          <w:szCs w:val="28"/>
        </w:rPr>
      </w:pPr>
      <w:bookmarkStart w:id="3" w:name="_Toc526340244"/>
      <w:r>
        <w:rPr>
          <w:sz w:val="28"/>
          <w:szCs w:val="28"/>
        </w:rPr>
        <w:t>5.5A</w:t>
      </w:r>
      <w:r>
        <w:rPr>
          <w:sz w:val="28"/>
          <w:szCs w:val="28"/>
        </w:rPr>
        <w:tab/>
      </w:r>
      <w:r>
        <w:rPr>
          <w:sz w:val="28"/>
          <w:szCs w:val="28"/>
        </w:rPr>
        <w:t>Configurations for CA</w:t>
      </w:r>
      <w:bookmarkEnd w:id="3"/>
    </w:p>
    <w:p>
      <w:pPr>
        <w:pStyle w:val="4"/>
        <w:keepNext/>
        <w:keepLines/>
        <w:pageBreakBefore w:val="0"/>
        <w:widowControl/>
        <w:numPr>
          <w:ilvl w:val="2"/>
          <w:numId w:val="0"/>
        </w:numPr>
        <w:tabs>
          <w:tab w:val="left" w:pos="575"/>
        </w:tabs>
        <w:kinsoku/>
        <w:wordWrap/>
        <w:overflowPunct w:val="0"/>
        <w:topLinePunct w:val="0"/>
        <w:autoSpaceDE w:val="0"/>
        <w:autoSpaceDN w:val="0"/>
        <w:bidi w:val="0"/>
        <w:adjustRightInd w:val="0"/>
        <w:snapToGrid w:val="0"/>
        <w:spacing w:before="0" w:beforeLines="0" w:line="240" w:lineRule="auto"/>
        <w:ind w:leftChars="0"/>
        <w:textAlignment w:val="baseline"/>
        <w:rPr>
          <w:sz w:val="28"/>
          <w:szCs w:val="28"/>
        </w:rPr>
      </w:pPr>
      <w:bookmarkStart w:id="4" w:name="_Toc526340245"/>
      <w:r>
        <w:rPr>
          <w:sz w:val="28"/>
          <w:szCs w:val="28"/>
        </w:rPr>
        <w:t>5.5A.1</w:t>
      </w:r>
      <w:r>
        <w:rPr>
          <w:sz w:val="28"/>
          <w:szCs w:val="28"/>
        </w:rPr>
        <w:tab/>
      </w:r>
      <w:r>
        <w:rPr>
          <w:sz w:val="28"/>
          <w:szCs w:val="28"/>
        </w:rPr>
        <w:t>Configurations for intra-band contiguous CA</w:t>
      </w:r>
      <w:bookmarkEnd w:id="4"/>
    </w:p>
    <w:p>
      <w:pPr>
        <w:pStyle w:val="88"/>
      </w:pPr>
      <w:r>
        <w:t>Table 5.5A.1-1: NR CA configurations and bandwidth combination sets defined for intra-band contiguous CA</w:t>
      </w:r>
    </w:p>
    <w:tbl>
      <w:tblPr>
        <w:tblStyle w:val="64"/>
        <w:tblW w:w="9992" w:type="dxa"/>
        <w:jc w:val="center"/>
        <w:tblInd w:w="2"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193"/>
        <w:gridCol w:w="1278"/>
        <w:gridCol w:w="1066"/>
        <w:gridCol w:w="1066"/>
        <w:gridCol w:w="1066"/>
        <w:gridCol w:w="1066"/>
        <w:gridCol w:w="25"/>
        <w:gridCol w:w="1040"/>
        <w:gridCol w:w="1067"/>
        <w:gridCol w:w="112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20" w:hRule="atLeast"/>
          <w:jc w:val="center"/>
        </w:trPr>
        <w:tc>
          <w:tcPr>
            <w:tcW w:w="9992" w:type="dxa"/>
            <w:gridSpan w:val="10"/>
            <w:tcBorders>
              <w:top w:val="single" w:color="auto" w:sz="4" w:space="0"/>
              <w:left w:val="single" w:color="auto" w:sz="4" w:space="0"/>
              <w:bottom w:val="single" w:color="auto" w:sz="6" w:space="0"/>
              <w:right w:val="single" w:color="auto" w:sz="4" w:space="0"/>
            </w:tcBorders>
          </w:tcPr>
          <w:p>
            <w:pPr>
              <w:pStyle w:val="200"/>
              <w:pageBreakBefore w:val="0"/>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default"/>
              </w:rPr>
              <w:t>E-UTRA CA configuration / 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81" w:hRule="atLeast"/>
          <w:jc w:val="center"/>
        </w:trPr>
        <w:tc>
          <w:tcPr>
            <w:tcW w:w="1193" w:type="dxa"/>
            <w:vMerge w:val="restart"/>
            <w:tcBorders>
              <w:top w:val="single" w:color="auto" w:sz="6" w:space="0"/>
              <w:left w:val="single" w:color="auto" w:sz="4" w:space="0"/>
              <w:bottom w:val="single" w:color="auto" w:sz="6" w:space="0"/>
              <w:right w:val="single" w:color="auto" w:sz="6" w:space="0"/>
            </w:tcBorders>
            <w:vAlign w:val="center"/>
          </w:tcPr>
          <w:p>
            <w:pPr>
              <w:pStyle w:val="200"/>
              <w:pageBreakBefore w:val="0"/>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default"/>
              </w:rPr>
              <w:t>NR CA configuration</w:t>
            </w:r>
          </w:p>
        </w:tc>
        <w:tc>
          <w:tcPr>
            <w:tcW w:w="1278" w:type="dxa"/>
            <w:vMerge w:val="restart"/>
            <w:tcBorders>
              <w:top w:val="single" w:color="auto" w:sz="6" w:space="0"/>
              <w:left w:val="single" w:color="auto" w:sz="6" w:space="0"/>
              <w:bottom w:val="single" w:color="auto" w:sz="6" w:space="0"/>
              <w:right w:val="single" w:color="auto" w:sz="6" w:space="0"/>
            </w:tcBorders>
            <w:vAlign w:val="center"/>
          </w:tcPr>
          <w:p>
            <w:pPr>
              <w:pStyle w:val="200"/>
              <w:pageBreakBefore w:val="0"/>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default"/>
              </w:rPr>
              <w:t>Uplink CA configurations</w:t>
            </w:r>
          </w:p>
        </w:tc>
        <w:tc>
          <w:tcPr>
            <w:tcW w:w="5329" w:type="dxa"/>
            <w:gridSpan w:val="6"/>
            <w:tcBorders>
              <w:top w:val="single" w:color="auto" w:sz="4" w:space="0"/>
              <w:left w:val="single" w:color="auto" w:sz="4" w:space="0"/>
              <w:bottom w:val="single" w:color="auto" w:sz="6" w:space="0"/>
              <w:right w:val="single" w:color="auto" w:sz="4" w:space="0"/>
            </w:tcBorders>
          </w:tcPr>
          <w:p>
            <w:pPr>
              <w:pStyle w:val="200"/>
              <w:pageBreakBefore w:val="0"/>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default"/>
              </w:rPr>
              <w:t>Component carriers in order of increasing carrier frequency</w:t>
            </w:r>
          </w:p>
        </w:tc>
        <w:tc>
          <w:tcPr>
            <w:tcW w:w="1067" w:type="dxa"/>
            <w:vMerge w:val="restart"/>
            <w:tcBorders>
              <w:top w:val="single" w:color="auto" w:sz="6" w:space="0"/>
              <w:left w:val="single" w:color="auto" w:sz="6" w:space="0"/>
              <w:bottom w:val="single" w:color="auto" w:sz="6" w:space="0"/>
              <w:right w:val="single" w:color="auto" w:sz="6" w:space="0"/>
            </w:tcBorders>
            <w:vAlign w:val="center"/>
          </w:tcPr>
          <w:p>
            <w:pPr>
              <w:pStyle w:val="200"/>
              <w:pageBreakBefore w:val="0"/>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default"/>
              </w:rPr>
              <w:t xml:space="preserve">Aggregated </w:t>
            </w:r>
            <w:r>
              <w:rPr>
                <w:rFonts w:hint="default"/>
              </w:rPr>
              <w:br w:type="textWrapping"/>
            </w:r>
            <w:r>
              <w:rPr>
                <w:rFonts w:hint="default"/>
              </w:rPr>
              <w:t>bandwidth (MHz)</w:t>
            </w:r>
          </w:p>
        </w:tc>
        <w:tc>
          <w:tcPr>
            <w:tcW w:w="1125" w:type="dxa"/>
            <w:vMerge w:val="restart"/>
            <w:tcBorders>
              <w:top w:val="single" w:color="auto" w:sz="6" w:space="0"/>
              <w:left w:val="single" w:color="auto" w:sz="6" w:space="0"/>
              <w:bottom w:val="single" w:color="auto" w:sz="6" w:space="0"/>
              <w:right w:val="single" w:color="auto" w:sz="4" w:space="0"/>
            </w:tcBorders>
            <w:vAlign w:val="center"/>
          </w:tcPr>
          <w:p>
            <w:pPr>
              <w:pStyle w:val="200"/>
              <w:pageBreakBefore w:val="0"/>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default"/>
              </w:rPr>
              <w:t>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80" w:hRule="atLeast"/>
          <w:jc w:val="center"/>
        </w:trPr>
        <w:tc>
          <w:tcPr>
            <w:tcW w:w="1193" w:type="dxa"/>
            <w:vMerge w:val="continue"/>
            <w:tcBorders>
              <w:left w:val="single" w:color="auto" w:sz="4" w:space="0"/>
              <w:bottom w:val="single" w:color="auto" w:sz="6" w:space="0"/>
              <w:right w:val="single" w:color="auto" w:sz="4" w:space="0"/>
            </w:tcBorders>
          </w:tcPr>
          <w:p>
            <w:pPr>
              <w:pStyle w:val="200"/>
              <w:pageBreakBefore w:val="0"/>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78" w:type="dxa"/>
            <w:vMerge w:val="continue"/>
            <w:tcBorders>
              <w:left w:val="single" w:color="auto" w:sz="4" w:space="0"/>
              <w:bottom w:val="single" w:color="auto" w:sz="6" w:space="0"/>
              <w:right w:val="single" w:color="auto" w:sz="4" w:space="0"/>
            </w:tcBorders>
          </w:tcPr>
          <w:p>
            <w:pPr>
              <w:pStyle w:val="200"/>
              <w:pageBreakBefore w:val="0"/>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066" w:type="dxa"/>
            <w:tcBorders>
              <w:top w:val="single" w:color="auto" w:sz="6" w:space="0"/>
              <w:left w:val="single" w:color="auto" w:sz="6" w:space="0"/>
              <w:bottom w:val="single" w:color="auto" w:sz="6" w:space="0"/>
              <w:right w:val="single" w:color="auto" w:sz="6" w:space="0"/>
            </w:tcBorders>
            <w:vAlign w:val="center"/>
          </w:tcPr>
          <w:p>
            <w:pPr>
              <w:pStyle w:val="200"/>
              <w:pageBreakBefore w:val="0"/>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default"/>
              </w:rPr>
              <w:t>Channel bandwidths for carrier (MHz)</w:t>
            </w:r>
          </w:p>
        </w:tc>
        <w:tc>
          <w:tcPr>
            <w:tcW w:w="1066" w:type="dxa"/>
            <w:tcBorders>
              <w:top w:val="single" w:color="auto" w:sz="6" w:space="0"/>
              <w:left w:val="single" w:color="auto" w:sz="6" w:space="0"/>
              <w:bottom w:val="single" w:color="auto" w:sz="6" w:space="0"/>
              <w:right w:val="single" w:color="auto" w:sz="6" w:space="0"/>
            </w:tcBorders>
            <w:vAlign w:val="center"/>
          </w:tcPr>
          <w:p>
            <w:pPr>
              <w:pStyle w:val="200"/>
              <w:pageBreakBefore w:val="0"/>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default"/>
              </w:rPr>
              <w:t>Channel bandwidths for carrier (MHz)</w:t>
            </w:r>
          </w:p>
        </w:tc>
        <w:tc>
          <w:tcPr>
            <w:tcW w:w="1066" w:type="dxa"/>
            <w:tcBorders>
              <w:top w:val="single" w:color="auto" w:sz="6" w:space="0"/>
              <w:left w:val="single" w:color="auto" w:sz="6" w:space="0"/>
              <w:bottom w:val="single" w:color="auto" w:sz="6" w:space="0"/>
              <w:right w:val="single" w:color="auto" w:sz="6" w:space="0"/>
            </w:tcBorders>
          </w:tcPr>
          <w:p>
            <w:pPr>
              <w:pStyle w:val="200"/>
              <w:pageBreakBefore w:val="0"/>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default"/>
              </w:rPr>
              <w:t>Channel bandwidths for carrier (MHz)</w:t>
            </w:r>
          </w:p>
        </w:tc>
        <w:tc>
          <w:tcPr>
            <w:tcW w:w="1066" w:type="dxa"/>
            <w:tcBorders>
              <w:top w:val="single" w:color="auto" w:sz="6" w:space="0"/>
              <w:left w:val="single" w:color="auto" w:sz="6" w:space="0"/>
              <w:bottom w:val="single" w:color="auto" w:sz="6" w:space="0"/>
              <w:right w:val="single" w:color="auto" w:sz="6" w:space="0"/>
            </w:tcBorders>
          </w:tcPr>
          <w:p>
            <w:pPr>
              <w:pStyle w:val="200"/>
              <w:pageBreakBefore w:val="0"/>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default"/>
              </w:rPr>
              <w:t>Channel bandwidths for carrier (MHz)</w:t>
            </w:r>
          </w:p>
        </w:tc>
        <w:tc>
          <w:tcPr>
            <w:tcW w:w="1065" w:type="dxa"/>
            <w:gridSpan w:val="2"/>
            <w:tcBorders>
              <w:top w:val="single" w:color="auto" w:sz="6" w:space="0"/>
              <w:left w:val="single" w:color="auto" w:sz="6" w:space="0"/>
              <w:bottom w:val="single" w:color="auto" w:sz="6" w:space="0"/>
              <w:right w:val="single" w:color="auto" w:sz="6" w:space="0"/>
            </w:tcBorders>
          </w:tcPr>
          <w:p>
            <w:pPr>
              <w:pStyle w:val="200"/>
              <w:pageBreakBefore w:val="0"/>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default"/>
              </w:rPr>
              <w:t>Channel bandwidths for carrier (MHz)</w:t>
            </w:r>
          </w:p>
        </w:tc>
        <w:tc>
          <w:tcPr>
            <w:tcW w:w="1067" w:type="dxa"/>
            <w:vMerge w:val="continue"/>
            <w:tcBorders>
              <w:left w:val="single" w:color="auto" w:sz="4" w:space="0"/>
              <w:bottom w:val="single" w:color="auto" w:sz="6" w:space="0"/>
              <w:right w:val="single" w:color="auto" w:sz="4" w:space="0"/>
            </w:tcBorders>
          </w:tcPr>
          <w:p>
            <w:pPr>
              <w:pStyle w:val="200"/>
              <w:pageBreakBefore w:val="0"/>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125" w:type="dxa"/>
            <w:vMerge w:val="continue"/>
            <w:tcBorders>
              <w:left w:val="single" w:color="auto" w:sz="4" w:space="0"/>
              <w:bottom w:val="single" w:color="auto" w:sz="6" w:space="0"/>
              <w:right w:val="single" w:color="auto" w:sz="4" w:space="0"/>
            </w:tcBorders>
          </w:tcPr>
          <w:p>
            <w:pPr>
              <w:pStyle w:val="200"/>
              <w:pageBreakBefore w:val="0"/>
              <w:suppressLineNumbers w:val="0"/>
              <w:kinsoku/>
              <w:wordWrap/>
              <w:topLinePunct w:val="0"/>
              <w:bidi w:val="0"/>
              <w:snapToGrid w:val="0"/>
              <w:spacing w:before="0" w:beforeLines="0" w:beforeAutospacing="0" w:afterAutospacing="0" w:line="240" w:lineRule="auto"/>
              <w:ind w:left="0" w:right="0"/>
              <w:outlineLvl w:val="9"/>
              <w:rPr>
                <w:rFonts w:hint="default"/>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70" w:hRule="atLeast"/>
          <w:jc w:val="center"/>
        </w:trPr>
        <w:tc>
          <w:tcPr>
            <w:tcW w:w="1193" w:type="dxa"/>
            <w:vMerge w:val="restart"/>
            <w:tcBorders>
              <w:top w:val="single" w:color="auto" w:sz="6" w:space="0"/>
              <w:left w:val="single" w:color="auto" w:sz="4" w:space="0"/>
              <w:bottom w:val="single" w:color="auto" w:sz="6" w:space="0"/>
              <w:right w:val="single" w:color="auto" w:sz="6" w:space="0"/>
            </w:tcBorders>
            <w:vAlign w:val="center"/>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CA_n77C</w:t>
            </w:r>
          </w:p>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CA_n78C</w:t>
            </w:r>
          </w:p>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CA_n79C</w:t>
            </w:r>
          </w:p>
        </w:tc>
        <w:tc>
          <w:tcPr>
            <w:tcW w:w="1278" w:type="dxa"/>
            <w:vMerge w:val="restart"/>
            <w:tcBorders>
              <w:top w:val="single" w:color="auto" w:sz="6" w:space="0"/>
              <w:left w:val="single" w:color="auto" w:sz="6" w:space="0"/>
              <w:bottom w:val="single" w:color="auto" w:sz="6" w:space="0"/>
              <w:right w:val="single" w:color="auto" w:sz="6" w:space="0"/>
            </w:tcBorders>
            <w:vAlign w:val="center"/>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66" w:type="dxa"/>
            <w:tcBorders>
              <w:top w:val="single" w:color="auto" w:sz="6" w:space="0"/>
              <w:left w:val="single" w:color="auto" w:sz="6" w:space="0"/>
              <w:bottom w:val="single" w:color="auto" w:sz="6" w:space="0"/>
              <w:right w:val="single" w:color="auto" w:sz="6" w:space="0"/>
            </w:tcBorders>
            <w:vAlign w:val="center"/>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50</w:t>
            </w:r>
          </w:p>
        </w:tc>
        <w:tc>
          <w:tcPr>
            <w:tcW w:w="1066" w:type="dxa"/>
            <w:tcBorders>
              <w:top w:val="single" w:color="auto" w:sz="6" w:space="0"/>
              <w:left w:val="single" w:color="auto" w:sz="6" w:space="0"/>
              <w:bottom w:val="single" w:color="auto" w:sz="6" w:space="0"/>
              <w:right w:val="single" w:color="auto" w:sz="6" w:space="0"/>
            </w:tcBorders>
            <w:vAlign w:val="center"/>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60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91" w:type="dxa"/>
            <w:gridSpan w:val="2"/>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40"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67" w:type="dxa"/>
            <w:tcBorders>
              <w:top w:val="single" w:color="auto" w:sz="6" w:space="0"/>
              <w:left w:val="single" w:color="auto" w:sz="6" w:space="0"/>
              <w:bottom w:val="single" w:color="auto" w:sz="6" w:space="0"/>
              <w:right w:val="single" w:color="auto" w:sz="6" w:space="0"/>
            </w:tcBorders>
            <w:vAlign w:val="center"/>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eastAsia="Yu Mincho"/>
                <w:lang w:eastAsia="ja-JP"/>
              </w:rPr>
            </w:pPr>
            <w:r>
              <w:rPr>
                <w:rFonts w:hint="eastAsia" w:eastAsia="Yu Mincho"/>
                <w:lang w:eastAsia="ja-JP"/>
              </w:rPr>
              <w:t>110</w:t>
            </w:r>
          </w:p>
        </w:tc>
        <w:tc>
          <w:tcPr>
            <w:tcW w:w="1125" w:type="dxa"/>
            <w:vMerge w:val="restart"/>
            <w:tcBorders>
              <w:top w:val="single" w:color="auto" w:sz="6" w:space="0"/>
              <w:left w:val="single" w:color="auto" w:sz="6" w:space="0"/>
              <w:right w:val="single" w:color="auto" w:sz="4" w:space="0"/>
            </w:tcBorders>
            <w:vAlign w:val="center"/>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3" w:hRule="atLeast"/>
          <w:jc w:val="center"/>
        </w:trPr>
        <w:tc>
          <w:tcPr>
            <w:tcW w:w="1193" w:type="dxa"/>
            <w:vMerge w:val="continue"/>
            <w:tcBorders>
              <w:top w:val="single" w:color="auto" w:sz="6" w:space="0"/>
              <w:left w:val="single" w:color="auto" w:sz="4"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278" w:type="dxa"/>
            <w:vMerge w:val="continue"/>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066" w:type="dxa"/>
            <w:tcBorders>
              <w:top w:val="single" w:color="auto" w:sz="6" w:space="0"/>
              <w:left w:val="single" w:color="auto" w:sz="6" w:space="0"/>
              <w:bottom w:val="single" w:color="auto" w:sz="6" w:space="0"/>
              <w:right w:val="single" w:color="auto" w:sz="6" w:space="0"/>
            </w:tcBorders>
            <w:vAlign w:val="center"/>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60</w:t>
            </w:r>
          </w:p>
        </w:tc>
        <w:tc>
          <w:tcPr>
            <w:tcW w:w="1066" w:type="dxa"/>
            <w:tcBorders>
              <w:top w:val="single" w:color="auto" w:sz="6" w:space="0"/>
              <w:left w:val="single" w:color="auto" w:sz="6" w:space="0"/>
              <w:bottom w:val="single" w:color="auto" w:sz="6" w:space="0"/>
              <w:right w:val="single" w:color="auto" w:sz="6" w:space="0"/>
            </w:tcBorders>
            <w:vAlign w:val="center"/>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60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91" w:type="dxa"/>
            <w:gridSpan w:val="2"/>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40"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67"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jc w:val="center"/>
              <w:outlineLvl w:val="9"/>
              <w:rPr>
                <w:rFonts w:hint="default" w:ascii="Arial" w:hAnsi="Arial" w:eastAsia="Yu Mincho"/>
                <w:sz w:val="18"/>
                <w:lang w:eastAsia="ja-JP"/>
              </w:rPr>
            </w:pPr>
            <w:r>
              <w:rPr>
                <w:rFonts w:hint="eastAsia" w:ascii="Arial" w:hAnsi="Arial" w:eastAsia="Yu Mincho"/>
                <w:sz w:val="18"/>
                <w:lang w:eastAsia="ja-JP"/>
              </w:rPr>
              <w:t>120</w:t>
            </w:r>
          </w:p>
        </w:tc>
        <w:tc>
          <w:tcPr>
            <w:tcW w:w="1125" w:type="dxa"/>
            <w:vMerge w:val="continue"/>
            <w:tcBorders>
              <w:left w:val="single" w:color="auto" w:sz="6" w:space="0"/>
              <w:right w:val="single" w:color="auto" w:sz="4"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3" w:hRule="atLeast"/>
          <w:jc w:val="center"/>
        </w:trPr>
        <w:tc>
          <w:tcPr>
            <w:tcW w:w="1193" w:type="dxa"/>
            <w:vMerge w:val="continue"/>
            <w:tcBorders>
              <w:top w:val="single" w:color="auto" w:sz="6" w:space="0"/>
              <w:left w:val="single" w:color="auto" w:sz="4"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278" w:type="dxa"/>
            <w:vMerge w:val="continue"/>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066" w:type="dxa"/>
            <w:tcBorders>
              <w:top w:val="single" w:color="auto" w:sz="6" w:space="0"/>
              <w:left w:val="single" w:color="auto" w:sz="6" w:space="0"/>
              <w:bottom w:val="single" w:color="auto" w:sz="6" w:space="0"/>
              <w:right w:val="single" w:color="auto" w:sz="6" w:space="0"/>
            </w:tcBorders>
            <w:vAlign w:val="center"/>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50</w:t>
            </w:r>
          </w:p>
        </w:tc>
        <w:tc>
          <w:tcPr>
            <w:tcW w:w="1066" w:type="dxa"/>
            <w:tcBorders>
              <w:top w:val="single" w:color="auto" w:sz="6" w:space="0"/>
              <w:left w:val="single" w:color="auto" w:sz="6" w:space="0"/>
              <w:bottom w:val="single" w:color="auto" w:sz="6" w:space="0"/>
              <w:right w:val="single" w:color="auto" w:sz="6" w:space="0"/>
            </w:tcBorders>
            <w:vAlign w:val="center"/>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eastAsia="Yu Mincho"/>
                <w:lang w:eastAsia="ja-JP"/>
              </w:rPr>
            </w:pPr>
            <w:r>
              <w:rPr>
                <w:rFonts w:hint="eastAsia" w:eastAsia="Yu Mincho"/>
                <w:lang w:eastAsia="ja-JP"/>
              </w:rPr>
              <w:t>80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91" w:type="dxa"/>
            <w:gridSpan w:val="2"/>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40"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67"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jc w:val="center"/>
              <w:outlineLvl w:val="9"/>
              <w:rPr>
                <w:rFonts w:hint="default" w:ascii="Arial" w:hAnsi="Arial" w:eastAsia="Yu Mincho"/>
                <w:sz w:val="18"/>
                <w:lang w:eastAsia="ja-JP"/>
              </w:rPr>
            </w:pPr>
            <w:r>
              <w:rPr>
                <w:rFonts w:hint="eastAsia" w:ascii="Arial" w:hAnsi="Arial" w:eastAsia="Yu Mincho"/>
                <w:sz w:val="18"/>
                <w:lang w:eastAsia="ja-JP"/>
              </w:rPr>
              <w:t>130</w:t>
            </w:r>
          </w:p>
        </w:tc>
        <w:tc>
          <w:tcPr>
            <w:tcW w:w="1125" w:type="dxa"/>
            <w:vMerge w:val="continue"/>
            <w:tcBorders>
              <w:left w:val="single" w:color="auto" w:sz="6" w:space="0"/>
              <w:right w:val="single" w:color="auto" w:sz="4"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3" w:hRule="atLeast"/>
          <w:jc w:val="center"/>
        </w:trPr>
        <w:tc>
          <w:tcPr>
            <w:tcW w:w="1193" w:type="dxa"/>
            <w:vMerge w:val="continue"/>
            <w:tcBorders>
              <w:top w:val="single" w:color="auto" w:sz="6" w:space="0"/>
              <w:left w:val="single" w:color="auto" w:sz="4"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278" w:type="dxa"/>
            <w:vMerge w:val="continue"/>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066" w:type="dxa"/>
            <w:tcBorders>
              <w:top w:val="single" w:color="auto" w:sz="6" w:space="0"/>
              <w:left w:val="single" w:color="auto" w:sz="6" w:space="0"/>
              <w:bottom w:val="single" w:color="auto" w:sz="6" w:space="0"/>
              <w:right w:val="single" w:color="auto" w:sz="6" w:space="0"/>
            </w:tcBorders>
            <w:vAlign w:val="center"/>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eastAsia="Yu Mincho"/>
                <w:lang w:eastAsia="ja-JP"/>
              </w:rPr>
            </w:pPr>
            <w:r>
              <w:rPr>
                <w:rFonts w:hint="eastAsia" w:eastAsia="Yu Mincho"/>
                <w:lang w:eastAsia="ja-JP"/>
              </w:rPr>
              <w:t>60</w:t>
            </w:r>
          </w:p>
        </w:tc>
        <w:tc>
          <w:tcPr>
            <w:tcW w:w="1066" w:type="dxa"/>
            <w:tcBorders>
              <w:top w:val="single" w:color="auto" w:sz="6" w:space="0"/>
              <w:left w:val="single" w:color="auto" w:sz="6" w:space="0"/>
              <w:bottom w:val="single" w:color="auto" w:sz="6" w:space="0"/>
              <w:right w:val="single" w:color="auto" w:sz="6" w:space="0"/>
            </w:tcBorders>
            <w:vAlign w:val="center"/>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eastAsia="Yu Mincho"/>
                <w:lang w:eastAsia="ja-JP"/>
              </w:rPr>
            </w:pPr>
            <w:r>
              <w:rPr>
                <w:rFonts w:hint="eastAsia" w:eastAsia="Yu Mincho"/>
                <w:lang w:eastAsia="ja-JP"/>
              </w:rPr>
              <w:t>80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91" w:type="dxa"/>
            <w:gridSpan w:val="2"/>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40"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67"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jc w:val="center"/>
              <w:outlineLvl w:val="9"/>
              <w:rPr>
                <w:rFonts w:hint="default" w:ascii="Arial" w:hAnsi="Arial" w:eastAsia="Yu Mincho"/>
                <w:sz w:val="18"/>
                <w:lang w:eastAsia="ja-JP"/>
              </w:rPr>
            </w:pPr>
            <w:r>
              <w:rPr>
                <w:rFonts w:hint="eastAsia" w:ascii="Arial" w:hAnsi="Arial" w:eastAsia="Yu Mincho"/>
                <w:sz w:val="18"/>
                <w:lang w:eastAsia="ja-JP"/>
              </w:rPr>
              <w:t>140</w:t>
            </w:r>
          </w:p>
        </w:tc>
        <w:tc>
          <w:tcPr>
            <w:tcW w:w="1125" w:type="dxa"/>
            <w:vMerge w:val="continue"/>
            <w:tcBorders>
              <w:left w:val="single" w:color="auto" w:sz="6" w:space="0"/>
              <w:right w:val="single" w:color="auto" w:sz="4"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3" w:hRule="atLeast"/>
          <w:jc w:val="center"/>
        </w:trPr>
        <w:tc>
          <w:tcPr>
            <w:tcW w:w="1193" w:type="dxa"/>
            <w:vMerge w:val="continue"/>
            <w:tcBorders>
              <w:top w:val="single" w:color="auto" w:sz="6" w:space="0"/>
              <w:left w:val="single" w:color="auto" w:sz="4"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278" w:type="dxa"/>
            <w:vMerge w:val="continue"/>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066" w:type="dxa"/>
            <w:tcBorders>
              <w:top w:val="single" w:color="auto" w:sz="6" w:space="0"/>
              <w:left w:val="single" w:color="auto" w:sz="6" w:space="0"/>
              <w:bottom w:val="single" w:color="auto" w:sz="6" w:space="0"/>
              <w:right w:val="single" w:color="auto" w:sz="6" w:space="0"/>
            </w:tcBorders>
            <w:vAlign w:val="center"/>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eastAsia="Yu Mincho"/>
                <w:lang w:eastAsia="ja-JP"/>
              </w:rPr>
            </w:pPr>
            <w:r>
              <w:rPr>
                <w:rFonts w:hint="eastAsia" w:eastAsia="Yu Mincho"/>
                <w:lang w:eastAsia="ja-JP"/>
              </w:rPr>
              <w:t>50</w:t>
            </w:r>
          </w:p>
        </w:tc>
        <w:tc>
          <w:tcPr>
            <w:tcW w:w="1066" w:type="dxa"/>
            <w:tcBorders>
              <w:top w:val="single" w:color="auto" w:sz="6" w:space="0"/>
              <w:left w:val="single" w:color="auto" w:sz="6" w:space="0"/>
              <w:bottom w:val="single" w:color="auto" w:sz="6" w:space="0"/>
              <w:right w:val="single" w:color="auto" w:sz="6" w:space="0"/>
            </w:tcBorders>
            <w:vAlign w:val="center"/>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eastAsia="Yu Mincho"/>
                <w:lang w:eastAsia="ja-JP"/>
              </w:rPr>
            </w:pPr>
            <w:r>
              <w:rPr>
                <w:rFonts w:hint="eastAsia" w:eastAsia="Yu Mincho"/>
                <w:lang w:eastAsia="ja-JP"/>
              </w:rPr>
              <w:t>100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91" w:type="dxa"/>
            <w:gridSpan w:val="2"/>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40"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67"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jc w:val="center"/>
              <w:outlineLvl w:val="9"/>
              <w:rPr>
                <w:rFonts w:hint="default" w:ascii="Arial" w:hAnsi="Arial" w:eastAsia="Yu Mincho"/>
                <w:sz w:val="18"/>
                <w:lang w:eastAsia="ja-JP"/>
              </w:rPr>
            </w:pPr>
            <w:r>
              <w:rPr>
                <w:rFonts w:hint="eastAsia" w:ascii="Arial" w:hAnsi="Arial" w:eastAsia="Yu Mincho"/>
                <w:sz w:val="18"/>
                <w:lang w:eastAsia="ja-JP"/>
              </w:rPr>
              <w:t>150</w:t>
            </w:r>
          </w:p>
        </w:tc>
        <w:tc>
          <w:tcPr>
            <w:tcW w:w="1125" w:type="dxa"/>
            <w:vMerge w:val="continue"/>
            <w:tcBorders>
              <w:left w:val="single" w:color="auto" w:sz="6" w:space="0"/>
              <w:right w:val="single" w:color="auto" w:sz="4"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3" w:hRule="atLeast"/>
          <w:jc w:val="center"/>
        </w:trPr>
        <w:tc>
          <w:tcPr>
            <w:tcW w:w="1193" w:type="dxa"/>
            <w:vMerge w:val="continue"/>
            <w:tcBorders>
              <w:top w:val="single" w:color="auto" w:sz="6" w:space="0"/>
              <w:left w:val="single" w:color="auto" w:sz="4"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278" w:type="dxa"/>
            <w:vMerge w:val="continue"/>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066" w:type="dxa"/>
            <w:tcBorders>
              <w:top w:val="single" w:color="auto" w:sz="6" w:space="0"/>
              <w:left w:val="single" w:color="auto" w:sz="6" w:space="0"/>
              <w:bottom w:val="single" w:color="auto" w:sz="6" w:space="0"/>
              <w:right w:val="single" w:color="auto" w:sz="6" w:space="0"/>
            </w:tcBorders>
            <w:vAlign w:val="center"/>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eastAsia="Yu Mincho"/>
                <w:lang w:eastAsia="ja-JP"/>
              </w:rPr>
            </w:pPr>
            <w:r>
              <w:rPr>
                <w:rFonts w:hint="eastAsia" w:eastAsia="Yu Mincho"/>
                <w:lang w:eastAsia="ja-JP"/>
              </w:rPr>
              <w:t>60</w:t>
            </w:r>
          </w:p>
        </w:tc>
        <w:tc>
          <w:tcPr>
            <w:tcW w:w="1066" w:type="dxa"/>
            <w:tcBorders>
              <w:top w:val="single" w:color="auto" w:sz="6" w:space="0"/>
              <w:left w:val="single" w:color="auto" w:sz="6" w:space="0"/>
              <w:bottom w:val="single" w:color="auto" w:sz="6" w:space="0"/>
              <w:right w:val="single" w:color="auto" w:sz="6" w:space="0"/>
            </w:tcBorders>
            <w:vAlign w:val="center"/>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eastAsia="Yu Mincho"/>
                <w:lang w:eastAsia="ja-JP"/>
              </w:rPr>
            </w:pPr>
            <w:r>
              <w:rPr>
                <w:rFonts w:hint="eastAsia" w:eastAsia="Yu Mincho"/>
                <w:lang w:eastAsia="ja-JP"/>
              </w:rPr>
              <w:t>100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91" w:type="dxa"/>
            <w:gridSpan w:val="2"/>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40"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67" w:type="dxa"/>
            <w:vMerge w:val="restart"/>
            <w:tcBorders>
              <w:top w:val="single" w:color="auto" w:sz="6" w:space="0"/>
              <w:left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jc w:val="center"/>
              <w:outlineLvl w:val="9"/>
              <w:rPr>
                <w:rFonts w:hint="default" w:ascii="Arial" w:hAnsi="Arial" w:eastAsia="Yu Mincho"/>
                <w:sz w:val="18"/>
                <w:lang w:eastAsia="ja-JP"/>
              </w:rPr>
            </w:pPr>
            <w:r>
              <w:rPr>
                <w:rFonts w:hint="eastAsia" w:ascii="Arial" w:hAnsi="Arial" w:eastAsia="Yu Mincho"/>
                <w:sz w:val="18"/>
                <w:lang w:eastAsia="ja-JP"/>
              </w:rPr>
              <w:t>160</w:t>
            </w:r>
          </w:p>
        </w:tc>
        <w:tc>
          <w:tcPr>
            <w:tcW w:w="1125" w:type="dxa"/>
            <w:vMerge w:val="continue"/>
            <w:tcBorders>
              <w:left w:val="single" w:color="auto" w:sz="6" w:space="0"/>
              <w:right w:val="single" w:color="auto" w:sz="4"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3" w:hRule="atLeast"/>
          <w:jc w:val="center"/>
        </w:trPr>
        <w:tc>
          <w:tcPr>
            <w:tcW w:w="1193" w:type="dxa"/>
            <w:vMerge w:val="continue"/>
            <w:tcBorders>
              <w:top w:val="single" w:color="auto" w:sz="6" w:space="0"/>
              <w:left w:val="single" w:color="auto" w:sz="4"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278" w:type="dxa"/>
            <w:vMerge w:val="continue"/>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066" w:type="dxa"/>
            <w:tcBorders>
              <w:top w:val="single" w:color="auto" w:sz="6" w:space="0"/>
              <w:left w:val="single" w:color="auto" w:sz="6" w:space="0"/>
              <w:bottom w:val="single" w:color="auto" w:sz="6" w:space="0"/>
              <w:right w:val="single" w:color="auto" w:sz="6" w:space="0"/>
            </w:tcBorders>
            <w:vAlign w:val="center"/>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80</w:t>
            </w:r>
          </w:p>
        </w:tc>
        <w:tc>
          <w:tcPr>
            <w:tcW w:w="1066" w:type="dxa"/>
            <w:tcBorders>
              <w:top w:val="single" w:color="auto" w:sz="6" w:space="0"/>
              <w:left w:val="single" w:color="auto" w:sz="6" w:space="0"/>
              <w:bottom w:val="single" w:color="auto" w:sz="6" w:space="0"/>
              <w:right w:val="single" w:color="auto" w:sz="6" w:space="0"/>
            </w:tcBorders>
            <w:vAlign w:val="center"/>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80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91" w:type="dxa"/>
            <w:gridSpan w:val="2"/>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40"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67" w:type="dxa"/>
            <w:vMerge w:val="continue"/>
            <w:tcBorders>
              <w:left w:val="single" w:color="auto" w:sz="6"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jc w:val="center"/>
              <w:outlineLvl w:val="9"/>
              <w:rPr>
                <w:rFonts w:hint="default" w:ascii="Arial" w:hAnsi="Arial" w:eastAsia="Yu Mincho"/>
                <w:sz w:val="18"/>
                <w:lang w:eastAsia="ja-JP"/>
              </w:rPr>
            </w:pPr>
          </w:p>
        </w:tc>
        <w:tc>
          <w:tcPr>
            <w:tcW w:w="1125" w:type="dxa"/>
            <w:vMerge w:val="continue"/>
            <w:tcBorders>
              <w:left w:val="single" w:color="auto" w:sz="6" w:space="0"/>
              <w:right w:val="single" w:color="auto" w:sz="4"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3" w:hRule="atLeast"/>
          <w:jc w:val="center"/>
        </w:trPr>
        <w:tc>
          <w:tcPr>
            <w:tcW w:w="1193" w:type="dxa"/>
            <w:vMerge w:val="continue"/>
            <w:tcBorders>
              <w:top w:val="single" w:color="auto" w:sz="6" w:space="0"/>
              <w:left w:val="single" w:color="auto" w:sz="4"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278" w:type="dxa"/>
            <w:vMerge w:val="continue"/>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066" w:type="dxa"/>
            <w:tcBorders>
              <w:top w:val="single" w:color="auto" w:sz="6" w:space="0"/>
              <w:left w:val="single" w:color="auto" w:sz="6" w:space="0"/>
              <w:bottom w:val="single" w:color="auto" w:sz="6" w:space="0"/>
              <w:right w:val="single" w:color="auto" w:sz="6" w:space="0"/>
            </w:tcBorders>
            <w:vAlign w:val="center"/>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eastAsia="Yu Mincho"/>
                <w:lang w:eastAsia="ja-JP"/>
              </w:rPr>
            </w:pPr>
            <w:r>
              <w:rPr>
                <w:rFonts w:hint="eastAsia" w:eastAsia="Yu Mincho"/>
                <w:lang w:eastAsia="ja-JP"/>
              </w:rPr>
              <w:t>80</w:t>
            </w:r>
          </w:p>
        </w:tc>
        <w:tc>
          <w:tcPr>
            <w:tcW w:w="1066" w:type="dxa"/>
            <w:tcBorders>
              <w:top w:val="single" w:color="auto" w:sz="6" w:space="0"/>
              <w:left w:val="single" w:color="auto" w:sz="6" w:space="0"/>
              <w:bottom w:val="single" w:color="auto" w:sz="6" w:space="0"/>
              <w:right w:val="single" w:color="auto" w:sz="6" w:space="0"/>
            </w:tcBorders>
            <w:vAlign w:val="center"/>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eastAsia="Yu Mincho"/>
                <w:lang w:eastAsia="ja-JP"/>
              </w:rPr>
            </w:pPr>
            <w:r>
              <w:rPr>
                <w:rFonts w:hint="eastAsia" w:eastAsia="Yu Mincho"/>
                <w:lang w:eastAsia="ja-JP"/>
              </w:rPr>
              <w:t>100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91" w:type="dxa"/>
            <w:gridSpan w:val="2"/>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40"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67"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jc w:val="center"/>
              <w:outlineLvl w:val="9"/>
              <w:rPr>
                <w:rFonts w:hint="default" w:ascii="Arial" w:hAnsi="Arial" w:eastAsia="Yu Mincho"/>
                <w:sz w:val="18"/>
                <w:lang w:eastAsia="ja-JP"/>
              </w:rPr>
            </w:pPr>
            <w:r>
              <w:rPr>
                <w:rFonts w:hint="eastAsia" w:ascii="Arial" w:hAnsi="Arial" w:eastAsia="Yu Mincho"/>
                <w:sz w:val="18"/>
                <w:lang w:eastAsia="ja-JP"/>
              </w:rPr>
              <w:t>180</w:t>
            </w:r>
          </w:p>
        </w:tc>
        <w:tc>
          <w:tcPr>
            <w:tcW w:w="1125" w:type="dxa"/>
            <w:vMerge w:val="continue"/>
            <w:tcBorders>
              <w:left w:val="single" w:color="auto" w:sz="6" w:space="0"/>
              <w:right w:val="single" w:color="auto" w:sz="4"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3" w:hRule="atLeast"/>
          <w:jc w:val="center"/>
        </w:trPr>
        <w:tc>
          <w:tcPr>
            <w:tcW w:w="1193" w:type="dxa"/>
            <w:vMerge w:val="continue"/>
            <w:tcBorders>
              <w:top w:val="single" w:color="auto" w:sz="6" w:space="0"/>
              <w:left w:val="single" w:color="auto" w:sz="4"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278" w:type="dxa"/>
            <w:vMerge w:val="continue"/>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066" w:type="dxa"/>
            <w:tcBorders>
              <w:top w:val="single" w:color="auto" w:sz="6" w:space="0"/>
              <w:left w:val="single" w:color="auto" w:sz="6" w:space="0"/>
              <w:bottom w:val="single" w:color="auto" w:sz="6" w:space="0"/>
              <w:right w:val="single" w:color="auto" w:sz="6" w:space="0"/>
            </w:tcBorders>
            <w:vAlign w:val="center"/>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66" w:type="dxa"/>
            <w:tcBorders>
              <w:top w:val="single" w:color="auto" w:sz="6" w:space="0"/>
              <w:left w:val="single" w:color="auto" w:sz="6" w:space="0"/>
              <w:bottom w:val="single" w:color="auto" w:sz="6" w:space="0"/>
              <w:right w:val="single" w:color="auto" w:sz="6" w:space="0"/>
            </w:tcBorders>
            <w:vAlign w:val="center"/>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91" w:type="dxa"/>
            <w:gridSpan w:val="2"/>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40"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67"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jc w:val="center"/>
              <w:outlineLvl w:val="9"/>
              <w:rPr>
                <w:rFonts w:hint="default" w:ascii="Arial" w:hAnsi="Arial" w:eastAsia="Yu Mincho"/>
                <w:sz w:val="18"/>
                <w:lang w:eastAsia="ja-JP"/>
              </w:rPr>
            </w:pPr>
            <w:r>
              <w:rPr>
                <w:rFonts w:hint="eastAsia" w:ascii="Arial" w:hAnsi="Arial" w:eastAsia="Yu Mincho"/>
                <w:sz w:val="18"/>
                <w:lang w:eastAsia="ja-JP"/>
              </w:rPr>
              <w:t>200</w:t>
            </w:r>
          </w:p>
        </w:tc>
        <w:tc>
          <w:tcPr>
            <w:tcW w:w="1125" w:type="dxa"/>
            <w:vMerge w:val="continue"/>
            <w:tcBorders>
              <w:left w:val="single" w:color="auto" w:sz="6" w:space="0"/>
              <w:right w:val="single" w:color="auto" w:sz="4"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3" w:hRule="atLeast"/>
          <w:jc w:val="center"/>
        </w:trPr>
        <w:tc>
          <w:tcPr>
            <w:tcW w:w="1193" w:type="dxa"/>
            <w:vMerge w:val="restart"/>
            <w:tcBorders>
              <w:top w:val="single" w:color="auto" w:sz="6" w:space="0"/>
              <w:left w:val="single" w:color="auto" w:sz="4" w:space="0"/>
              <w:right w:val="single" w:color="auto" w:sz="6" w:space="0"/>
            </w:tcBorders>
            <w:vAlign w:val="center"/>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CA_n77D, CA_n78D, CA_n79D</w:t>
            </w:r>
          </w:p>
        </w:tc>
        <w:tc>
          <w:tcPr>
            <w:tcW w:w="1278"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50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60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91" w:type="dxa"/>
            <w:gridSpan w:val="2"/>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40"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67"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eastAsia="Yu Mincho"/>
                <w:lang w:eastAsia="ja-JP"/>
              </w:rPr>
            </w:pPr>
            <w:r>
              <w:rPr>
                <w:rFonts w:hint="default"/>
              </w:rPr>
              <w:t>210</w:t>
            </w:r>
          </w:p>
        </w:tc>
        <w:tc>
          <w:tcPr>
            <w:tcW w:w="1125" w:type="dxa"/>
            <w:vMerge w:val="continue"/>
            <w:tcBorders>
              <w:left w:val="single" w:color="auto" w:sz="6" w:space="0"/>
              <w:right w:val="single" w:color="auto" w:sz="4"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3" w:hRule="atLeast"/>
          <w:jc w:val="center"/>
        </w:trPr>
        <w:tc>
          <w:tcPr>
            <w:tcW w:w="1193" w:type="dxa"/>
            <w:vMerge w:val="continue"/>
            <w:tcBorders>
              <w:left w:val="single" w:color="auto" w:sz="4"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278"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60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60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91" w:type="dxa"/>
            <w:gridSpan w:val="2"/>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40"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67"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eastAsia="Yu Mincho"/>
                <w:lang w:eastAsia="ja-JP"/>
              </w:rPr>
            </w:pPr>
            <w:r>
              <w:rPr>
                <w:rFonts w:hint="default"/>
              </w:rPr>
              <w:t>220</w:t>
            </w:r>
          </w:p>
        </w:tc>
        <w:tc>
          <w:tcPr>
            <w:tcW w:w="1125" w:type="dxa"/>
            <w:vMerge w:val="continue"/>
            <w:tcBorders>
              <w:left w:val="single" w:color="auto" w:sz="6" w:space="0"/>
              <w:right w:val="single" w:color="auto" w:sz="4"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3" w:hRule="atLeast"/>
          <w:jc w:val="center"/>
        </w:trPr>
        <w:tc>
          <w:tcPr>
            <w:tcW w:w="1193" w:type="dxa"/>
            <w:vMerge w:val="continue"/>
            <w:tcBorders>
              <w:left w:val="single" w:color="auto" w:sz="4"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278"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50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80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91" w:type="dxa"/>
            <w:gridSpan w:val="2"/>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40"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67"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eastAsia="Yu Mincho"/>
                <w:lang w:eastAsia="ja-JP"/>
              </w:rPr>
            </w:pPr>
            <w:r>
              <w:rPr>
                <w:rFonts w:hint="default"/>
              </w:rPr>
              <w:t>230</w:t>
            </w:r>
          </w:p>
        </w:tc>
        <w:tc>
          <w:tcPr>
            <w:tcW w:w="1125" w:type="dxa"/>
            <w:vMerge w:val="continue"/>
            <w:tcBorders>
              <w:left w:val="single" w:color="auto" w:sz="6" w:space="0"/>
              <w:right w:val="single" w:color="auto" w:sz="4"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3" w:hRule="atLeast"/>
          <w:jc w:val="center"/>
        </w:trPr>
        <w:tc>
          <w:tcPr>
            <w:tcW w:w="1193" w:type="dxa"/>
            <w:vMerge w:val="continue"/>
            <w:tcBorders>
              <w:left w:val="single" w:color="auto" w:sz="4"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278"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60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80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91" w:type="dxa"/>
            <w:gridSpan w:val="2"/>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40"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67"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eastAsia="Yu Mincho"/>
                <w:lang w:eastAsia="ja-JP"/>
              </w:rPr>
            </w:pPr>
            <w:r>
              <w:rPr>
                <w:rFonts w:hint="default"/>
              </w:rPr>
              <w:t>240</w:t>
            </w:r>
          </w:p>
        </w:tc>
        <w:tc>
          <w:tcPr>
            <w:tcW w:w="1125" w:type="dxa"/>
            <w:vMerge w:val="continue"/>
            <w:tcBorders>
              <w:left w:val="single" w:color="auto" w:sz="6" w:space="0"/>
              <w:right w:val="single" w:color="auto" w:sz="4"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3" w:hRule="atLeast"/>
          <w:jc w:val="center"/>
        </w:trPr>
        <w:tc>
          <w:tcPr>
            <w:tcW w:w="1193" w:type="dxa"/>
            <w:vMerge w:val="continue"/>
            <w:tcBorders>
              <w:left w:val="single" w:color="auto" w:sz="4"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278"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50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91" w:type="dxa"/>
            <w:gridSpan w:val="2"/>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40"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67"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eastAsia="Yu Mincho"/>
                <w:lang w:eastAsia="ja-JP"/>
              </w:rPr>
            </w:pPr>
            <w:r>
              <w:rPr>
                <w:rFonts w:hint="default"/>
              </w:rPr>
              <w:t>250</w:t>
            </w:r>
          </w:p>
        </w:tc>
        <w:tc>
          <w:tcPr>
            <w:tcW w:w="1125" w:type="dxa"/>
            <w:vMerge w:val="continue"/>
            <w:tcBorders>
              <w:left w:val="single" w:color="auto" w:sz="6" w:space="0"/>
              <w:right w:val="single" w:color="auto" w:sz="4"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3" w:hRule="atLeast"/>
          <w:jc w:val="center"/>
        </w:trPr>
        <w:tc>
          <w:tcPr>
            <w:tcW w:w="1193" w:type="dxa"/>
            <w:vMerge w:val="continue"/>
            <w:tcBorders>
              <w:left w:val="single" w:color="auto" w:sz="4"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278"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80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80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91" w:type="dxa"/>
            <w:gridSpan w:val="2"/>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40"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67"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eastAsia="Yu Mincho"/>
                <w:lang w:eastAsia="ja-JP"/>
              </w:rPr>
            </w:pPr>
            <w:r>
              <w:rPr>
                <w:rFonts w:hint="default"/>
              </w:rPr>
              <w:t>260</w:t>
            </w:r>
          </w:p>
        </w:tc>
        <w:tc>
          <w:tcPr>
            <w:tcW w:w="1125" w:type="dxa"/>
            <w:vMerge w:val="continue"/>
            <w:tcBorders>
              <w:left w:val="single" w:color="auto" w:sz="6" w:space="0"/>
              <w:right w:val="single" w:color="auto" w:sz="4"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3" w:hRule="atLeast"/>
          <w:jc w:val="center"/>
        </w:trPr>
        <w:tc>
          <w:tcPr>
            <w:tcW w:w="1193" w:type="dxa"/>
            <w:vMerge w:val="continue"/>
            <w:tcBorders>
              <w:left w:val="single" w:color="auto" w:sz="4"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278"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80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90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91" w:type="dxa"/>
            <w:gridSpan w:val="2"/>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40"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67"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eastAsia="Yu Mincho"/>
                <w:lang w:eastAsia="ja-JP"/>
              </w:rPr>
            </w:pPr>
            <w:r>
              <w:rPr>
                <w:rFonts w:hint="default"/>
              </w:rPr>
              <w:t>270</w:t>
            </w:r>
          </w:p>
        </w:tc>
        <w:tc>
          <w:tcPr>
            <w:tcW w:w="1125" w:type="dxa"/>
            <w:vMerge w:val="continue"/>
            <w:tcBorders>
              <w:left w:val="single" w:color="auto" w:sz="6" w:space="0"/>
              <w:right w:val="single" w:color="auto" w:sz="4"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3" w:hRule="atLeast"/>
          <w:jc w:val="center"/>
        </w:trPr>
        <w:tc>
          <w:tcPr>
            <w:tcW w:w="1193" w:type="dxa"/>
            <w:vMerge w:val="continue"/>
            <w:tcBorders>
              <w:left w:val="single" w:color="auto" w:sz="4"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278"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80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91" w:type="dxa"/>
            <w:gridSpan w:val="2"/>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40"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67"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eastAsia="Yu Mincho"/>
                <w:lang w:eastAsia="ja-JP"/>
              </w:rPr>
            </w:pPr>
            <w:r>
              <w:rPr>
                <w:rFonts w:hint="default"/>
              </w:rPr>
              <w:t>280</w:t>
            </w:r>
          </w:p>
        </w:tc>
        <w:tc>
          <w:tcPr>
            <w:tcW w:w="1125" w:type="dxa"/>
            <w:vMerge w:val="continue"/>
            <w:tcBorders>
              <w:left w:val="single" w:color="auto" w:sz="6" w:space="0"/>
              <w:right w:val="single" w:color="auto" w:sz="4"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3" w:hRule="atLeast"/>
          <w:jc w:val="center"/>
        </w:trPr>
        <w:tc>
          <w:tcPr>
            <w:tcW w:w="1193" w:type="dxa"/>
            <w:vMerge w:val="continue"/>
            <w:tcBorders>
              <w:left w:val="single" w:color="auto" w:sz="4"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278"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90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91" w:type="dxa"/>
            <w:gridSpan w:val="2"/>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40"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67"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eastAsia="Yu Mincho"/>
                <w:lang w:eastAsia="ja-JP"/>
              </w:rPr>
            </w:pPr>
            <w:r>
              <w:rPr>
                <w:rFonts w:hint="default"/>
              </w:rPr>
              <w:t>290</w:t>
            </w:r>
          </w:p>
        </w:tc>
        <w:tc>
          <w:tcPr>
            <w:tcW w:w="1125" w:type="dxa"/>
            <w:vMerge w:val="continue"/>
            <w:tcBorders>
              <w:left w:val="single" w:color="auto" w:sz="6" w:space="0"/>
              <w:right w:val="single" w:color="auto" w:sz="4"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3" w:hRule="atLeast"/>
          <w:jc w:val="center"/>
        </w:trPr>
        <w:tc>
          <w:tcPr>
            <w:tcW w:w="1193" w:type="dxa"/>
            <w:vMerge w:val="continue"/>
            <w:tcBorders>
              <w:left w:val="single" w:color="auto" w:sz="4"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278"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91" w:type="dxa"/>
            <w:gridSpan w:val="2"/>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40"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67"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eastAsia="Yu Mincho"/>
                <w:lang w:eastAsia="ja-JP"/>
              </w:rPr>
            </w:pPr>
            <w:r>
              <w:rPr>
                <w:rFonts w:hint="default"/>
              </w:rPr>
              <w:t>300</w:t>
            </w:r>
          </w:p>
        </w:tc>
        <w:tc>
          <w:tcPr>
            <w:tcW w:w="1125" w:type="dxa"/>
            <w:vMerge w:val="continue"/>
            <w:tcBorders>
              <w:left w:val="single" w:color="auto" w:sz="6" w:space="0"/>
              <w:right w:val="single" w:color="auto" w:sz="4"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3" w:hRule="atLeast"/>
          <w:jc w:val="center"/>
        </w:trPr>
        <w:tc>
          <w:tcPr>
            <w:tcW w:w="1193" w:type="dxa"/>
            <w:vMerge w:val="restart"/>
            <w:tcBorders>
              <w:top w:val="single" w:color="auto" w:sz="6" w:space="0"/>
              <w:left w:val="single" w:color="auto" w:sz="4" w:space="0"/>
              <w:right w:val="single" w:color="auto" w:sz="6" w:space="0"/>
            </w:tcBorders>
            <w:vAlign w:val="center"/>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CA_n77E, CA_n78E, CA_n79E</w:t>
            </w:r>
          </w:p>
        </w:tc>
        <w:tc>
          <w:tcPr>
            <w:tcW w:w="1278"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50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60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91" w:type="dxa"/>
            <w:gridSpan w:val="2"/>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40"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67" w:type="dxa"/>
            <w:tcBorders>
              <w:top w:val="single" w:color="auto" w:sz="6" w:space="0"/>
              <w:left w:val="single" w:color="auto" w:sz="6" w:space="0"/>
              <w:bottom w:val="single" w:color="auto" w:sz="6" w:space="0"/>
              <w:right w:val="single" w:color="auto" w:sz="6" w:space="0"/>
            </w:tcBorders>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jc w:val="center"/>
              <w:outlineLvl w:val="9"/>
              <w:rPr>
                <w:rFonts w:hint="default" w:ascii="Arial" w:hAnsi="Arial" w:eastAsia="Yu Mincho"/>
                <w:sz w:val="18"/>
                <w:lang w:eastAsia="ja-JP"/>
              </w:rPr>
            </w:pPr>
            <w:r>
              <w:rPr>
                <w:rFonts w:hint="default"/>
              </w:rPr>
              <w:t>310</w:t>
            </w:r>
          </w:p>
        </w:tc>
        <w:tc>
          <w:tcPr>
            <w:tcW w:w="1125" w:type="dxa"/>
            <w:vMerge w:val="continue"/>
            <w:tcBorders>
              <w:left w:val="single" w:color="auto" w:sz="6" w:space="0"/>
              <w:right w:val="single" w:color="auto" w:sz="4"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3" w:hRule="atLeast"/>
          <w:jc w:val="center"/>
        </w:trPr>
        <w:tc>
          <w:tcPr>
            <w:tcW w:w="1193" w:type="dxa"/>
            <w:vMerge w:val="continue"/>
            <w:tcBorders>
              <w:left w:val="single" w:color="auto" w:sz="4" w:space="0"/>
              <w:right w:val="single" w:color="auto" w:sz="6" w:space="0"/>
            </w:tcBorders>
            <w:vAlign w:val="center"/>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278"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60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60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91" w:type="dxa"/>
            <w:gridSpan w:val="2"/>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40"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67" w:type="dxa"/>
            <w:tcBorders>
              <w:top w:val="single" w:color="auto" w:sz="6" w:space="0"/>
              <w:left w:val="single" w:color="auto" w:sz="6" w:space="0"/>
              <w:bottom w:val="single" w:color="auto" w:sz="6" w:space="0"/>
              <w:right w:val="single" w:color="auto" w:sz="6" w:space="0"/>
            </w:tcBorders>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jc w:val="center"/>
              <w:outlineLvl w:val="9"/>
              <w:rPr>
                <w:rFonts w:hint="default" w:ascii="Arial" w:hAnsi="Arial" w:eastAsia="Yu Mincho"/>
                <w:sz w:val="18"/>
                <w:lang w:eastAsia="ja-JP"/>
              </w:rPr>
            </w:pPr>
            <w:r>
              <w:rPr>
                <w:rFonts w:hint="default"/>
              </w:rPr>
              <w:t>320</w:t>
            </w:r>
          </w:p>
        </w:tc>
        <w:tc>
          <w:tcPr>
            <w:tcW w:w="1125" w:type="dxa"/>
            <w:vMerge w:val="continue"/>
            <w:tcBorders>
              <w:left w:val="single" w:color="auto" w:sz="6" w:space="0"/>
              <w:right w:val="single" w:color="auto" w:sz="4"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3" w:hRule="atLeast"/>
          <w:jc w:val="center"/>
        </w:trPr>
        <w:tc>
          <w:tcPr>
            <w:tcW w:w="1193" w:type="dxa"/>
            <w:vMerge w:val="continue"/>
            <w:tcBorders>
              <w:left w:val="single" w:color="auto" w:sz="4" w:space="0"/>
              <w:right w:val="single" w:color="auto" w:sz="6" w:space="0"/>
            </w:tcBorders>
            <w:vAlign w:val="center"/>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278"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50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80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91" w:type="dxa"/>
            <w:gridSpan w:val="2"/>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40"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67" w:type="dxa"/>
            <w:tcBorders>
              <w:top w:val="single" w:color="auto" w:sz="6" w:space="0"/>
              <w:left w:val="single" w:color="auto" w:sz="6" w:space="0"/>
              <w:bottom w:val="single" w:color="auto" w:sz="6" w:space="0"/>
              <w:right w:val="single" w:color="auto" w:sz="6" w:space="0"/>
            </w:tcBorders>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jc w:val="center"/>
              <w:outlineLvl w:val="9"/>
              <w:rPr>
                <w:rFonts w:hint="default" w:ascii="Arial" w:hAnsi="Arial" w:eastAsia="Yu Mincho"/>
                <w:sz w:val="18"/>
                <w:lang w:eastAsia="ja-JP"/>
              </w:rPr>
            </w:pPr>
            <w:r>
              <w:rPr>
                <w:rFonts w:hint="default"/>
              </w:rPr>
              <w:t>330</w:t>
            </w:r>
          </w:p>
        </w:tc>
        <w:tc>
          <w:tcPr>
            <w:tcW w:w="1125" w:type="dxa"/>
            <w:vMerge w:val="continue"/>
            <w:tcBorders>
              <w:left w:val="single" w:color="auto" w:sz="6" w:space="0"/>
              <w:right w:val="single" w:color="auto" w:sz="4"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3" w:hRule="atLeast"/>
          <w:jc w:val="center"/>
        </w:trPr>
        <w:tc>
          <w:tcPr>
            <w:tcW w:w="1193" w:type="dxa"/>
            <w:vMerge w:val="continue"/>
            <w:tcBorders>
              <w:left w:val="single" w:color="auto" w:sz="4" w:space="0"/>
              <w:right w:val="single" w:color="auto" w:sz="6" w:space="0"/>
            </w:tcBorders>
            <w:vAlign w:val="center"/>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278"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60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80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91" w:type="dxa"/>
            <w:gridSpan w:val="2"/>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40"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67" w:type="dxa"/>
            <w:tcBorders>
              <w:top w:val="single" w:color="auto" w:sz="6" w:space="0"/>
              <w:left w:val="single" w:color="auto" w:sz="6" w:space="0"/>
              <w:bottom w:val="single" w:color="auto" w:sz="6" w:space="0"/>
              <w:right w:val="single" w:color="auto" w:sz="6" w:space="0"/>
            </w:tcBorders>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jc w:val="center"/>
              <w:outlineLvl w:val="9"/>
              <w:rPr>
                <w:rFonts w:hint="default" w:ascii="Arial" w:hAnsi="Arial" w:eastAsia="Yu Mincho"/>
                <w:sz w:val="18"/>
                <w:lang w:eastAsia="ja-JP"/>
              </w:rPr>
            </w:pPr>
            <w:r>
              <w:rPr>
                <w:rFonts w:hint="default"/>
              </w:rPr>
              <w:t>340</w:t>
            </w:r>
          </w:p>
        </w:tc>
        <w:tc>
          <w:tcPr>
            <w:tcW w:w="1125" w:type="dxa"/>
            <w:vMerge w:val="continue"/>
            <w:tcBorders>
              <w:left w:val="single" w:color="auto" w:sz="6" w:space="0"/>
              <w:right w:val="single" w:color="auto" w:sz="4"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3" w:hRule="atLeast"/>
          <w:jc w:val="center"/>
        </w:trPr>
        <w:tc>
          <w:tcPr>
            <w:tcW w:w="1193" w:type="dxa"/>
            <w:vMerge w:val="continue"/>
            <w:tcBorders>
              <w:left w:val="single" w:color="auto" w:sz="4" w:space="0"/>
              <w:right w:val="single" w:color="auto" w:sz="6" w:space="0"/>
            </w:tcBorders>
            <w:vAlign w:val="center"/>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278"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50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91" w:type="dxa"/>
            <w:gridSpan w:val="2"/>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40"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67" w:type="dxa"/>
            <w:tcBorders>
              <w:top w:val="single" w:color="auto" w:sz="6" w:space="0"/>
              <w:left w:val="single" w:color="auto" w:sz="6" w:space="0"/>
              <w:bottom w:val="single" w:color="auto" w:sz="6" w:space="0"/>
              <w:right w:val="single" w:color="auto" w:sz="6" w:space="0"/>
            </w:tcBorders>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jc w:val="center"/>
              <w:outlineLvl w:val="9"/>
              <w:rPr>
                <w:rFonts w:hint="default" w:ascii="Arial" w:hAnsi="Arial" w:eastAsia="Yu Mincho"/>
                <w:sz w:val="18"/>
                <w:lang w:eastAsia="ja-JP"/>
              </w:rPr>
            </w:pPr>
            <w:r>
              <w:rPr>
                <w:rFonts w:hint="default"/>
              </w:rPr>
              <w:t>350</w:t>
            </w:r>
          </w:p>
        </w:tc>
        <w:tc>
          <w:tcPr>
            <w:tcW w:w="1125" w:type="dxa"/>
            <w:vMerge w:val="continue"/>
            <w:tcBorders>
              <w:left w:val="single" w:color="auto" w:sz="6" w:space="0"/>
              <w:right w:val="single" w:color="auto" w:sz="4"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3" w:hRule="atLeast"/>
          <w:jc w:val="center"/>
        </w:trPr>
        <w:tc>
          <w:tcPr>
            <w:tcW w:w="1193" w:type="dxa"/>
            <w:vMerge w:val="continue"/>
            <w:tcBorders>
              <w:left w:val="single" w:color="auto" w:sz="4" w:space="0"/>
              <w:right w:val="single" w:color="auto" w:sz="6" w:space="0"/>
            </w:tcBorders>
            <w:vAlign w:val="center"/>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278"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80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80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91" w:type="dxa"/>
            <w:gridSpan w:val="2"/>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40"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67" w:type="dxa"/>
            <w:tcBorders>
              <w:top w:val="single" w:color="auto" w:sz="6" w:space="0"/>
              <w:left w:val="single" w:color="auto" w:sz="6" w:space="0"/>
              <w:bottom w:val="single" w:color="auto" w:sz="6" w:space="0"/>
              <w:right w:val="single" w:color="auto" w:sz="6" w:space="0"/>
            </w:tcBorders>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jc w:val="center"/>
              <w:outlineLvl w:val="9"/>
              <w:rPr>
                <w:rFonts w:hint="default" w:ascii="Arial" w:hAnsi="Arial" w:eastAsia="Yu Mincho"/>
                <w:sz w:val="18"/>
                <w:lang w:eastAsia="ja-JP"/>
              </w:rPr>
            </w:pPr>
            <w:r>
              <w:rPr>
                <w:rFonts w:hint="default"/>
              </w:rPr>
              <w:t>360</w:t>
            </w:r>
          </w:p>
        </w:tc>
        <w:tc>
          <w:tcPr>
            <w:tcW w:w="1125" w:type="dxa"/>
            <w:vMerge w:val="continue"/>
            <w:tcBorders>
              <w:left w:val="single" w:color="auto" w:sz="6" w:space="0"/>
              <w:right w:val="single" w:color="auto" w:sz="4"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3" w:hRule="atLeast"/>
          <w:jc w:val="center"/>
        </w:trPr>
        <w:tc>
          <w:tcPr>
            <w:tcW w:w="1193" w:type="dxa"/>
            <w:vMerge w:val="continue"/>
            <w:tcBorders>
              <w:left w:val="single" w:color="auto" w:sz="4" w:space="0"/>
              <w:right w:val="single" w:color="auto" w:sz="6" w:space="0"/>
            </w:tcBorders>
            <w:vAlign w:val="center"/>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278"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80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90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91" w:type="dxa"/>
            <w:gridSpan w:val="2"/>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40"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67" w:type="dxa"/>
            <w:tcBorders>
              <w:top w:val="single" w:color="auto" w:sz="6" w:space="0"/>
              <w:left w:val="single" w:color="auto" w:sz="6" w:space="0"/>
              <w:bottom w:val="single" w:color="auto" w:sz="6" w:space="0"/>
              <w:right w:val="single" w:color="auto" w:sz="6" w:space="0"/>
            </w:tcBorders>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jc w:val="center"/>
              <w:outlineLvl w:val="9"/>
              <w:rPr>
                <w:rFonts w:hint="default" w:ascii="Arial" w:hAnsi="Arial" w:eastAsia="Yu Mincho"/>
                <w:sz w:val="18"/>
                <w:lang w:eastAsia="ja-JP"/>
              </w:rPr>
            </w:pPr>
            <w:r>
              <w:rPr>
                <w:rFonts w:hint="default"/>
              </w:rPr>
              <w:t>370</w:t>
            </w:r>
          </w:p>
        </w:tc>
        <w:tc>
          <w:tcPr>
            <w:tcW w:w="1125" w:type="dxa"/>
            <w:vMerge w:val="continue"/>
            <w:tcBorders>
              <w:left w:val="single" w:color="auto" w:sz="6" w:space="0"/>
              <w:right w:val="single" w:color="auto" w:sz="4"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3" w:hRule="atLeast"/>
          <w:jc w:val="center"/>
        </w:trPr>
        <w:tc>
          <w:tcPr>
            <w:tcW w:w="1193" w:type="dxa"/>
            <w:vMerge w:val="continue"/>
            <w:tcBorders>
              <w:left w:val="single" w:color="auto" w:sz="4" w:space="0"/>
              <w:right w:val="single" w:color="auto" w:sz="6" w:space="0"/>
            </w:tcBorders>
            <w:vAlign w:val="center"/>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278"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80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91" w:type="dxa"/>
            <w:gridSpan w:val="2"/>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40"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67" w:type="dxa"/>
            <w:tcBorders>
              <w:top w:val="single" w:color="auto" w:sz="6" w:space="0"/>
              <w:left w:val="single" w:color="auto" w:sz="6" w:space="0"/>
              <w:bottom w:val="single" w:color="auto" w:sz="6" w:space="0"/>
              <w:right w:val="single" w:color="auto" w:sz="6" w:space="0"/>
            </w:tcBorders>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jc w:val="center"/>
              <w:outlineLvl w:val="9"/>
              <w:rPr>
                <w:rFonts w:hint="default" w:ascii="Arial" w:hAnsi="Arial" w:eastAsia="Yu Mincho"/>
                <w:sz w:val="18"/>
                <w:lang w:eastAsia="ja-JP"/>
              </w:rPr>
            </w:pPr>
            <w:r>
              <w:rPr>
                <w:rFonts w:hint="default"/>
              </w:rPr>
              <w:t>380</w:t>
            </w:r>
          </w:p>
        </w:tc>
        <w:tc>
          <w:tcPr>
            <w:tcW w:w="1125" w:type="dxa"/>
            <w:vMerge w:val="continue"/>
            <w:tcBorders>
              <w:left w:val="single" w:color="auto" w:sz="6" w:space="0"/>
              <w:right w:val="single" w:color="auto" w:sz="4"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3" w:hRule="atLeast"/>
          <w:jc w:val="center"/>
        </w:trPr>
        <w:tc>
          <w:tcPr>
            <w:tcW w:w="1193" w:type="dxa"/>
            <w:vMerge w:val="continue"/>
            <w:tcBorders>
              <w:left w:val="single" w:color="auto" w:sz="4" w:space="0"/>
              <w:right w:val="single" w:color="auto" w:sz="6" w:space="0"/>
            </w:tcBorders>
            <w:vAlign w:val="center"/>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278"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90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91" w:type="dxa"/>
            <w:gridSpan w:val="2"/>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40"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67" w:type="dxa"/>
            <w:tcBorders>
              <w:top w:val="single" w:color="auto" w:sz="6" w:space="0"/>
              <w:left w:val="single" w:color="auto" w:sz="6" w:space="0"/>
              <w:bottom w:val="single" w:color="auto" w:sz="6" w:space="0"/>
              <w:right w:val="single" w:color="auto" w:sz="6" w:space="0"/>
            </w:tcBorders>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jc w:val="center"/>
              <w:outlineLvl w:val="9"/>
              <w:rPr>
                <w:rFonts w:hint="default" w:ascii="Arial" w:hAnsi="Arial" w:eastAsia="Yu Mincho"/>
                <w:sz w:val="18"/>
                <w:lang w:eastAsia="ja-JP"/>
              </w:rPr>
            </w:pPr>
            <w:r>
              <w:rPr>
                <w:rFonts w:hint="default"/>
              </w:rPr>
              <w:t>390</w:t>
            </w:r>
          </w:p>
        </w:tc>
        <w:tc>
          <w:tcPr>
            <w:tcW w:w="1125" w:type="dxa"/>
            <w:vMerge w:val="continue"/>
            <w:tcBorders>
              <w:left w:val="single" w:color="auto" w:sz="6" w:space="0"/>
              <w:right w:val="single" w:color="auto" w:sz="4"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193" w:hRule="atLeast"/>
          <w:jc w:val="center"/>
        </w:trPr>
        <w:tc>
          <w:tcPr>
            <w:tcW w:w="1193" w:type="dxa"/>
            <w:vMerge w:val="continue"/>
            <w:tcBorders>
              <w:left w:val="single" w:color="auto" w:sz="4" w:space="0"/>
              <w:bottom w:val="single" w:color="auto" w:sz="6" w:space="0"/>
              <w:right w:val="single" w:color="auto" w:sz="6" w:space="0"/>
            </w:tcBorders>
            <w:vAlign w:val="center"/>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278"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66"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91" w:type="dxa"/>
            <w:gridSpan w:val="2"/>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r>
              <w:rPr>
                <w:rFonts w:hint="default"/>
              </w:rPr>
              <w:t>100</w:t>
            </w:r>
          </w:p>
        </w:tc>
        <w:tc>
          <w:tcPr>
            <w:tcW w:w="1040" w:type="dxa"/>
            <w:tcBorders>
              <w:top w:val="single" w:color="auto" w:sz="6" w:space="0"/>
              <w:left w:val="single" w:color="auto" w:sz="6" w:space="0"/>
              <w:bottom w:val="single" w:color="auto" w:sz="6" w:space="0"/>
              <w:right w:val="single" w:color="auto" w:sz="6" w:space="0"/>
            </w:tcBorders>
          </w:tcPr>
          <w:p>
            <w:pPr>
              <w:pStyle w:val="201"/>
              <w:pageBreakBefore w:val="0"/>
              <w:suppressLineNumbers w:val="0"/>
              <w:kinsoku/>
              <w:wordWrap/>
              <w:topLinePunct w:val="0"/>
              <w:bidi w:val="0"/>
              <w:snapToGrid w:val="0"/>
              <w:spacing w:before="0" w:beforeLines="0" w:beforeAutospacing="0" w:afterAutospacing="0" w:line="180" w:lineRule="atLeast"/>
              <w:ind w:left="0" w:right="0"/>
              <w:outlineLvl w:val="9"/>
              <w:rPr>
                <w:rFonts w:hint="default"/>
              </w:rPr>
            </w:pPr>
          </w:p>
        </w:tc>
        <w:tc>
          <w:tcPr>
            <w:tcW w:w="1067" w:type="dxa"/>
            <w:tcBorders>
              <w:top w:val="single" w:color="auto" w:sz="6" w:space="0"/>
              <w:left w:val="single" w:color="auto" w:sz="6" w:space="0"/>
              <w:bottom w:val="single" w:color="auto" w:sz="6" w:space="0"/>
              <w:right w:val="single" w:color="auto" w:sz="6" w:space="0"/>
            </w:tcBorders>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jc w:val="center"/>
              <w:outlineLvl w:val="9"/>
              <w:rPr>
                <w:rFonts w:hint="default" w:ascii="Arial" w:hAnsi="Arial" w:eastAsia="Yu Mincho"/>
                <w:sz w:val="18"/>
                <w:lang w:eastAsia="ja-JP"/>
              </w:rPr>
            </w:pPr>
            <w:r>
              <w:rPr>
                <w:rFonts w:hint="default"/>
              </w:rPr>
              <w:t>400</w:t>
            </w:r>
          </w:p>
        </w:tc>
        <w:tc>
          <w:tcPr>
            <w:tcW w:w="1125" w:type="dxa"/>
            <w:vMerge w:val="continue"/>
            <w:tcBorders>
              <w:left w:val="single" w:color="auto" w:sz="6" w:space="0"/>
              <w:bottom w:val="single" w:color="auto" w:sz="6" w:space="0"/>
              <w:right w:val="single" w:color="auto" w:sz="4" w:space="0"/>
            </w:tcBorders>
            <w:vAlign w:val="center"/>
          </w:tcPr>
          <w:p>
            <w:pPr>
              <w:keepNext w:val="0"/>
              <w:keepLines w:val="0"/>
              <w:pageBreakBefore w:val="0"/>
              <w:suppressLineNumbers w:val="0"/>
              <w:kinsoku/>
              <w:wordWrap/>
              <w:topLinePunct w:val="0"/>
              <w:bidi w:val="0"/>
              <w:snapToGrid w:val="0"/>
              <w:spacing w:before="0" w:beforeLines="0" w:beforeAutospacing="0" w:after="0" w:afterAutospacing="0" w:line="180" w:lineRule="atLeast"/>
              <w:ind w:left="0" w:right="0"/>
              <w:outlineLvl w:val="9"/>
              <w:rPr>
                <w:rFonts w:hint="default" w:ascii="Arial" w:hAnsi="Arial"/>
                <w:sz w:val="18"/>
              </w:rPr>
            </w:pPr>
          </w:p>
        </w:tc>
      </w:tr>
    </w:tbl>
    <w:p/>
    <w:p>
      <w:pPr>
        <w:pStyle w:val="88"/>
      </w:pPr>
      <w:r>
        <w:t>Table 5.5A.1-2: NR CA configurations and bandwidth combination sets defined for intra-band contiguous CA for fallback group 2</w:t>
      </w:r>
    </w:p>
    <w:tbl>
      <w:tblPr>
        <w:tblStyle w:val="64"/>
        <w:tblW w:w="9266" w:type="dxa"/>
        <w:jc w:val="center"/>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183"/>
        <w:gridCol w:w="1058"/>
        <w:gridCol w:w="1241"/>
        <w:gridCol w:w="1230"/>
        <w:gridCol w:w="1583"/>
        <w:gridCol w:w="1553"/>
        <w:gridCol w:w="141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jc w:val="center"/>
        </w:trPr>
        <w:tc>
          <w:tcPr>
            <w:tcW w:w="1183" w:type="dxa"/>
            <w:tcBorders>
              <w:top w:val="single" w:color="auto" w:sz="4" w:space="0"/>
              <w:left w:val="single" w:color="auto" w:sz="4" w:space="0"/>
              <w:bottom w:val="single" w:color="auto" w:sz="6" w:space="0"/>
              <w:right w:val="single" w:color="auto" w:sz="6" w:space="0"/>
            </w:tcBorders>
          </w:tcPr>
          <w:p>
            <w:pPr>
              <w:pStyle w:val="88"/>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058" w:type="dxa"/>
            <w:tcBorders>
              <w:top w:val="single" w:color="auto" w:sz="4" w:space="0"/>
              <w:left w:val="single" w:color="auto" w:sz="6" w:space="0"/>
              <w:bottom w:val="single" w:color="auto" w:sz="6" w:space="0"/>
              <w:right w:val="single" w:color="auto" w:sz="6" w:space="0"/>
            </w:tcBorders>
          </w:tcPr>
          <w:p>
            <w:pPr>
              <w:pStyle w:val="88"/>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7025" w:type="dxa"/>
            <w:gridSpan w:val="5"/>
            <w:tcBorders>
              <w:top w:val="single" w:color="auto" w:sz="4" w:space="0"/>
              <w:left w:val="single" w:color="auto" w:sz="6" w:space="0"/>
              <w:bottom w:val="single" w:color="auto" w:sz="6" w:space="0"/>
              <w:right w:val="single" w:color="auto" w:sz="4" w:space="0"/>
            </w:tcBorders>
          </w:tcPr>
          <w:p>
            <w:pPr>
              <w:pStyle w:val="200"/>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default"/>
              </w:rPr>
              <w:t>E-UTRA CA configuration / 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jc w:val="center"/>
        </w:trPr>
        <w:tc>
          <w:tcPr>
            <w:tcW w:w="1183" w:type="dxa"/>
            <w:vMerge w:val="restart"/>
            <w:tcBorders>
              <w:top w:val="single" w:color="auto" w:sz="6" w:space="0"/>
              <w:left w:val="single" w:color="auto" w:sz="4" w:space="0"/>
              <w:bottom w:val="single" w:color="auto" w:sz="6" w:space="0"/>
              <w:right w:val="single" w:color="auto" w:sz="6" w:space="0"/>
            </w:tcBorders>
            <w:vAlign w:val="center"/>
          </w:tcPr>
          <w:p>
            <w:pPr>
              <w:pStyle w:val="200"/>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default"/>
              </w:rPr>
              <w:t>NR CA configuration</w:t>
            </w:r>
          </w:p>
        </w:tc>
        <w:tc>
          <w:tcPr>
            <w:tcW w:w="1058" w:type="dxa"/>
            <w:vMerge w:val="restart"/>
            <w:tcBorders>
              <w:top w:val="single" w:color="auto" w:sz="6" w:space="0"/>
              <w:left w:val="single" w:color="auto" w:sz="6" w:space="0"/>
              <w:bottom w:val="single" w:color="auto" w:sz="6" w:space="0"/>
              <w:right w:val="single" w:color="auto" w:sz="6" w:space="0"/>
            </w:tcBorders>
            <w:vAlign w:val="center"/>
          </w:tcPr>
          <w:p>
            <w:pPr>
              <w:pStyle w:val="200"/>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default"/>
              </w:rPr>
              <w:t>Uplink CA configurations</w:t>
            </w:r>
          </w:p>
        </w:tc>
        <w:tc>
          <w:tcPr>
            <w:tcW w:w="4054" w:type="dxa"/>
            <w:gridSpan w:val="3"/>
            <w:tcBorders>
              <w:top w:val="single" w:color="auto" w:sz="6" w:space="0"/>
              <w:left w:val="single" w:color="auto" w:sz="6" w:space="0"/>
              <w:bottom w:val="single" w:color="auto" w:sz="6" w:space="0"/>
              <w:right w:val="single" w:color="auto" w:sz="6" w:space="0"/>
            </w:tcBorders>
            <w:vAlign w:val="center"/>
          </w:tcPr>
          <w:p>
            <w:pPr>
              <w:pStyle w:val="200"/>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default"/>
              </w:rPr>
              <w:t>Component carriers in order of increasing carrier frequency</w:t>
            </w:r>
          </w:p>
        </w:tc>
        <w:tc>
          <w:tcPr>
            <w:tcW w:w="1553" w:type="dxa"/>
            <w:vMerge w:val="restart"/>
            <w:tcBorders>
              <w:top w:val="single" w:color="auto" w:sz="6" w:space="0"/>
              <w:left w:val="single" w:color="auto" w:sz="6" w:space="0"/>
              <w:bottom w:val="single" w:color="auto" w:sz="6" w:space="0"/>
              <w:right w:val="single" w:color="auto" w:sz="6" w:space="0"/>
            </w:tcBorders>
            <w:vAlign w:val="center"/>
          </w:tcPr>
          <w:p>
            <w:pPr>
              <w:pStyle w:val="200"/>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default"/>
              </w:rPr>
              <w:t xml:space="preserve">aggregated </w:t>
            </w:r>
            <w:r>
              <w:rPr>
                <w:rFonts w:hint="default"/>
              </w:rPr>
              <w:br w:type="textWrapping"/>
            </w:r>
            <w:r>
              <w:rPr>
                <w:rFonts w:hint="default"/>
              </w:rPr>
              <w:t>bandwidth (MHz])</w:t>
            </w:r>
          </w:p>
        </w:tc>
        <w:tc>
          <w:tcPr>
            <w:tcW w:w="1418" w:type="dxa"/>
            <w:vMerge w:val="restart"/>
            <w:tcBorders>
              <w:top w:val="single" w:color="auto" w:sz="6" w:space="0"/>
              <w:left w:val="single" w:color="auto" w:sz="6" w:space="0"/>
              <w:bottom w:val="single" w:color="auto" w:sz="6" w:space="0"/>
              <w:right w:val="single" w:color="auto" w:sz="4" w:space="0"/>
            </w:tcBorders>
            <w:vAlign w:val="center"/>
          </w:tcPr>
          <w:p>
            <w:pPr>
              <w:pStyle w:val="200"/>
              <w:suppressLineNumbers w:val="0"/>
              <w:spacing w:beforeAutospacing="0" w:afterAutospacing="0"/>
              <w:ind w:left="0" w:right="0"/>
              <w:rPr>
                <w:rFonts w:hint="default"/>
              </w:rPr>
            </w:pPr>
            <w:r>
              <w:rPr>
                <w:rFonts w:hint="default"/>
              </w:rPr>
              <w:t>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jc w:val="center"/>
        </w:trPr>
        <w:tc>
          <w:tcPr>
            <w:tcW w:w="1183" w:type="dxa"/>
            <w:vMerge w:val="continue"/>
            <w:tcBorders>
              <w:top w:val="single" w:color="auto" w:sz="6" w:space="0"/>
              <w:left w:val="single" w:color="auto" w:sz="4" w:space="0"/>
              <w:bottom w:val="single" w:color="auto" w:sz="6" w:space="0"/>
              <w:right w:val="single" w:color="auto" w:sz="6" w:space="0"/>
            </w:tcBorders>
            <w:vAlign w:val="center"/>
          </w:tcPr>
          <w:p>
            <w:pPr>
              <w:pStyle w:val="88"/>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058" w:type="dxa"/>
            <w:vMerge w:val="continue"/>
            <w:tcBorders>
              <w:top w:val="single" w:color="auto" w:sz="6" w:space="0"/>
              <w:left w:val="single" w:color="auto" w:sz="6" w:space="0"/>
              <w:bottom w:val="single" w:color="auto" w:sz="6" w:space="0"/>
              <w:right w:val="single" w:color="auto" w:sz="6" w:space="0"/>
            </w:tcBorders>
            <w:vAlign w:val="center"/>
          </w:tcPr>
          <w:p>
            <w:pPr>
              <w:pStyle w:val="88"/>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41" w:type="dxa"/>
            <w:tcBorders>
              <w:top w:val="single" w:color="auto" w:sz="6" w:space="0"/>
              <w:left w:val="single" w:color="auto" w:sz="6" w:space="0"/>
              <w:bottom w:val="single" w:color="auto" w:sz="6" w:space="0"/>
              <w:right w:val="single" w:color="auto" w:sz="6" w:space="0"/>
            </w:tcBorders>
            <w:vAlign w:val="center"/>
          </w:tcPr>
          <w:p>
            <w:pPr>
              <w:pStyle w:val="200"/>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default"/>
              </w:rPr>
              <w:t>Channel bandwidths for carrier (MHz)</w:t>
            </w:r>
          </w:p>
        </w:tc>
        <w:tc>
          <w:tcPr>
            <w:tcW w:w="1230" w:type="dxa"/>
            <w:tcBorders>
              <w:top w:val="single" w:color="auto" w:sz="6" w:space="0"/>
              <w:left w:val="single" w:color="auto" w:sz="6" w:space="0"/>
              <w:bottom w:val="single" w:color="auto" w:sz="6" w:space="0"/>
              <w:right w:val="single" w:color="auto" w:sz="6" w:space="0"/>
            </w:tcBorders>
            <w:vAlign w:val="center"/>
          </w:tcPr>
          <w:p>
            <w:pPr>
              <w:pStyle w:val="200"/>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default"/>
              </w:rPr>
              <w:t>Channel bandwidths for carrier (MHz)</w:t>
            </w:r>
          </w:p>
        </w:tc>
        <w:tc>
          <w:tcPr>
            <w:tcW w:w="1583" w:type="dxa"/>
            <w:tcBorders>
              <w:top w:val="single" w:color="auto" w:sz="6" w:space="0"/>
              <w:left w:val="single" w:color="auto" w:sz="6" w:space="0"/>
              <w:bottom w:val="single" w:color="auto" w:sz="6" w:space="0"/>
              <w:right w:val="single" w:color="auto" w:sz="6" w:space="0"/>
            </w:tcBorders>
          </w:tcPr>
          <w:p>
            <w:pPr>
              <w:pStyle w:val="200"/>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default"/>
              </w:rPr>
              <w:t>Channel bandwidths for the other carrier (MHz</w:t>
            </w:r>
          </w:p>
        </w:tc>
        <w:tc>
          <w:tcPr>
            <w:tcW w:w="1553" w:type="dxa"/>
            <w:vMerge w:val="continue"/>
            <w:tcBorders>
              <w:top w:val="single" w:color="auto" w:sz="6" w:space="0"/>
              <w:left w:val="single" w:color="auto" w:sz="6" w:space="0"/>
              <w:bottom w:val="single" w:color="auto" w:sz="6" w:space="0"/>
              <w:right w:val="single" w:color="auto" w:sz="6" w:space="0"/>
            </w:tcBorders>
            <w:vAlign w:val="center"/>
          </w:tcPr>
          <w:p>
            <w:pPr>
              <w:pStyle w:val="200"/>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418" w:type="dxa"/>
            <w:vMerge w:val="continue"/>
            <w:tcBorders>
              <w:top w:val="single" w:color="auto" w:sz="6" w:space="0"/>
              <w:left w:val="single" w:color="auto" w:sz="6" w:space="0"/>
              <w:bottom w:val="single" w:color="auto" w:sz="6" w:space="0"/>
              <w:right w:val="single" w:color="auto" w:sz="4" w:space="0"/>
            </w:tcBorders>
            <w:vAlign w:val="center"/>
          </w:tcPr>
          <w:p>
            <w:pPr>
              <w:pStyle w:val="200"/>
              <w:suppressLineNumbers w:val="0"/>
              <w:spacing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4" w:hRule="atLeast"/>
          <w:jc w:val="center"/>
        </w:trPr>
        <w:tc>
          <w:tcPr>
            <w:tcW w:w="1183" w:type="dxa"/>
            <w:vMerge w:val="restart"/>
            <w:tcBorders>
              <w:left w:val="single" w:color="auto" w:sz="4"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default"/>
              </w:rPr>
              <w:t>CA_n77F, CA_n78F, CA_n79F</w:t>
            </w:r>
          </w:p>
        </w:tc>
        <w:tc>
          <w:tcPr>
            <w:tcW w:w="1058" w:type="dxa"/>
            <w:vMerge w:val="restart"/>
            <w:tcBorders>
              <w:left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41"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40</w:t>
            </w:r>
          </w:p>
        </w:tc>
        <w:tc>
          <w:tcPr>
            <w:tcW w:w="1230"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20</w:t>
            </w:r>
          </w:p>
        </w:tc>
        <w:tc>
          <w:tcPr>
            <w:tcW w:w="158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55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60</w:t>
            </w:r>
          </w:p>
        </w:tc>
        <w:tc>
          <w:tcPr>
            <w:tcW w:w="1418" w:type="dxa"/>
            <w:vMerge w:val="restart"/>
            <w:tcBorders>
              <w:left w:val="single" w:color="auto" w:sz="6" w:space="0"/>
              <w:right w:val="single" w:color="auto" w:sz="4" w:space="0"/>
            </w:tcBorders>
            <w:vAlign w:val="center"/>
          </w:tcPr>
          <w:p>
            <w:pPr>
              <w:pStyle w:val="201"/>
              <w:suppressLineNumbers w:val="0"/>
              <w:spacing w:beforeAutospacing="0" w:afterAutospacing="0"/>
              <w:ind w:left="0" w:right="0"/>
              <w:rPr>
                <w:rFonts w:hint="default"/>
              </w:rPr>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4" w:hRule="atLeast"/>
          <w:jc w:val="center"/>
        </w:trPr>
        <w:tc>
          <w:tcPr>
            <w:tcW w:w="1183" w:type="dxa"/>
            <w:vMerge w:val="continue"/>
            <w:tcBorders>
              <w:left w:val="single" w:color="auto" w:sz="4"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058" w:type="dxa"/>
            <w:vMerge w:val="continue"/>
            <w:tcBorders>
              <w:left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41"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p>
        </w:tc>
        <w:tc>
          <w:tcPr>
            <w:tcW w:w="1230"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20</w:t>
            </w:r>
          </w:p>
        </w:tc>
        <w:tc>
          <w:tcPr>
            <w:tcW w:w="158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55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70</w:t>
            </w:r>
          </w:p>
        </w:tc>
        <w:tc>
          <w:tcPr>
            <w:tcW w:w="1418" w:type="dxa"/>
            <w:vMerge w:val="continue"/>
            <w:tcBorders>
              <w:left w:val="single" w:color="auto" w:sz="6" w:space="0"/>
              <w:right w:val="single" w:color="auto" w:sz="4" w:space="0"/>
            </w:tcBorders>
            <w:vAlign w:val="center"/>
          </w:tcPr>
          <w:p>
            <w:pPr>
              <w:pStyle w:val="88"/>
              <w:suppressLineNumbers w:val="0"/>
              <w:spacing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4" w:hRule="atLeast"/>
          <w:jc w:val="center"/>
        </w:trPr>
        <w:tc>
          <w:tcPr>
            <w:tcW w:w="1183" w:type="dxa"/>
            <w:vMerge w:val="continue"/>
            <w:tcBorders>
              <w:left w:val="single" w:color="auto" w:sz="4"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058" w:type="dxa"/>
            <w:vMerge w:val="continue"/>
            <w:tcBorders>
              <w:left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41"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40</w:t>
            </w:r>
          </w:p>
        </w:tc>
        <w:tc>
          <w:tcPr>
            <w:tcW w:w="1230"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40</w:t>
            </w:r>
          </w:p>
        </w:tc>
        <w:tc>
          <w:tcPr>
            <w:tcW w:w="158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55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80</w:t>
            </w:r>
          </w:p>
        </w:tc>
        <w:tc>
          <w:tcPr>
            <w:tcW w:w="1418" w:type="dxa"/>
            <w:vMerge w:val="continue"/>
            <w:tcBorders>
              <w:left w:val="single" w:color="auto" w:sz="6" w:space="0"/>
              <w:right w:val="single" w:color="auto" w:sz="4" w:space="0"/>
            </w:tcBorders>
            <w:vAlign w:val="center"/>
          </w:tcPr>
          <w:p>
            <w:pPr>
              <w:pStyle w:val="88"/>
              <w:suppressLineNumbers w:val="0"/>
              <w:spacing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4" w:hRule="atLeast"/>
          <w:jc w:val="center"/>
        </w:trPr>
        <w:tc>
          <w:tcPr>
            <w:tcW w:w="1183" w:type="dxa"/>
            <w:vMerge w:val="continue"/>
            <w:tcBorders>
              <w:left w:val="single" w:color="auto" w:sz="4"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058" w:type="dxa"/>
            <w:vMerge w:val="continue"/>
            <w:tcBorders>
              <w:left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41"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40</w:t>
            </w:r>
          </w:p>
        </w:tc>
        <w:tc>
          <w:tcPr>
            <w:tcW w:w="1230"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p>
        </w:tc>
        <w:tc>
          <w:tcPr>
            <w:tcW w:w="158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55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90</w:t>
            </w:r>
          </w:p>
        </w:tc>
        <w:tc>
          <w:tcPr>
            <w:tcW w:w="1418" w:type="dxa"/>
            <w:vMerge w:val="continue"/>
            <w:tcBorders>
              <w:left w:val="single" w:color="auto" w:sz="6" w:space="0"/>
              <w:right w:val="single" w:color="auto" w:sz="4" w:space="0"/>
            </w:tcBorders>
            <w:vAlign w:val="center"/>
          </w:tcPr>
          <w:p>
            <w:pPr>
              <w:pStyle w:val="88"/>
              <w:suppressLineNumbers w:val="0"/>
              <w:spacing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4" w:hRule="atLeast"/>
          <w:jc w:val="center"/>
        </w:trPr>
        <w:tc>
          <w:tcPr>
            <w:tcW w:w="1183" w:type="dxa"/>
            <w:vMerge w:val="continue"/>
            <w:tcBorders>
              <w:left w:val="single" w:color="auto" w:sz="4"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058" w:type="dxa"/>
            <w:vMerge w:val="continue"/>
            <w:tcBorders>
              <w:left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41"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p>
        </w:tc>
        <w:tc>
          <w:tcPr>
            <w:tcW w:w="1230"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p>
        </w:tc>
        <w:tc>
          <w:tcPr>
            <w:tcW w:w="158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55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100</w:t>
            </w:r>
          </w:p>
        </w:tc>
        <w:tc>
          <w:tcPr>
            <w:tcW w:w="1418" w:type="dxa"/>
            <w:vMerge w:val="continue"/>
            <w:tcBorders>
              <w:left w:val="single" w:color="auto" w:sz="6" w:space="0"/>
              <w:right w:val="single" w:color="auto" w:sz="4" w:space="0"/>
            </w:tcBorders>
            <w:vAlign w:val="center"/>
          </w:tcPr>
          <w:p>
            <w:pPr>
              <w:pStyle w:val="88"/>
              <w:suppressLineNumbers w:val="0"/>
              <w:spacing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4" w:hRule="atLeast"/>
          <w:jc w:val="center"/>
        </w:trPr>
        <w:tc>
          <w:tcPr>
            <w:tcW w:w="1183" w:type="dxa"/>
            <w:vMerge w:val="restart"/>
            <w:tcBorders>
              <w:left w:val="single" w:color="auto" w:sz="4"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CA_n77G, CA_n78G, CA_n79G</w:t>
            </w:r>
          </w:p>
        </w:tc>
        <w:tc>
          <w:tcPr>
            <w:tcW w:w="1058" w:type="dxa"/>
            <w:vMerge w:val="restart"/>
            <w:tcBorders>
              <w:left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41"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40</w:t>
            </w:r>
          </w:p>
        </w:tc>
        <w:tc>
          <w:tcPr>
            <w:tcW w:w="1230"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20</w:t>
            </w:r>
          </w:p>
        </w:tc>
        <w:tc>
          <w:tcPr>
            <w:tcW w:w="158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p>
        </w:tc>
        <w:tc>
          <w:tcPr>
            <w:tcW w:w="155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110</w:t>
            </w:r>
          </w:p>
        </w:tc>
        <w:tc>
          <w:tcPr>
            <w:tcW w:w="1418" w:type="dxa"/>
            <w:vMerge w:val="continue"/>
            <w:tcBorders>
              <w:left w:val="single" w:color="auto" w:sz="6" w:space="0"/>
              <w:right w:val="single" w:color="auto" w:sz="4" w:space="0"/>
            </w:tcBorders>
            <w:vAlign w:val="center"/>
          </w:tcPr>
          <w:p>
            <w:pPr>
              <w:pStyle w:val="88"/>
              <w:suppressLineNumbers w:val="0"/>
              <w:spacing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4" w:hRule="atLeast"/>
          <w:jc w:val="center"/>
        </w:trPr>
        <w:tc>
          <w:tcPr>
            <w:tcW w:w="1183" w:type="dxa"/>
            <w:vMerge w:val="continue"/>
            <w:tcBorders>
              <w:left w:val="single" w:color="auto" w:sz="4"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058" w:type="dxa"/>
            <w:vMerge w:val="continue"/>
            <w:tcBorders>
              <w:left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41"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default"/>
              </w:rPr>
              <w:t>50</w:t>
            </w:r>
          </w:p>
        </w:tc>
        <w:tc>
          <w:tcPr>
            <w:tcW w:w="1230"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20</w:t>
            </w:r>
          </w:p>
        </w:tc>
        <w:tc>
          <w:tcPr>
            <w:tcW w:w="158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p>
        </w:tc>
        <w:tc>
          <w:tcPr>
            <w:tcW w:w="155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120</w:t>
            </w:r>
          </w:p>
        </w:tc>
        <w:tc>
          <w:tcPr>
            <w:tcW w:w="1418" w:type="dxa"/>
            <w:vMerge w:val="continue"/>
            <w:tcBorders>
              <w:left w:val="single" w:color="auto" w:sz="6" w:space="0"/>
              <w:right w:val="single" w:color="auto" w:sz="4" w:space="0"/>
            </w:tcBorders>
            <w:vAlign w:val="center"/>
          </w:tcPr>
          <w:p>
            <w:pPr>
              <w:pStyle w:val="88"/>
              <w:suppressLineNumbers w:val="0"/>
              <w:spacing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4" w:hRule="atLeast"/>
          <w:jc w:val="center"/>
        </w:trPr>
        <w:tc>
          <w:tcPr>
            <w:tcW w:w="1183" w:type="dxa"/>
            <w:vMerge w:val="continue"/>
            <w:tcBorders>
              <w:left w:val="single" w:color="auto" w:sz="4"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058" w:type="dxa"/>
            <w:vMerge w:val="continue"/>
            <w:tcBorders>
              <w:left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41"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40</w:t>
            </w:r>
          </w:p>
        </w:tc>
        <w:tc>
          <w:tcPr>
            <w:tcW w:w="1230"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40</w:t>
            </w:r>
          </w:p>
        </w:tc>
        <w:tc>
          <w:tcPr>
            <w:tcW w:w="158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p>
        </w:tc>
        <w:tc>
          <w:tcPr>
            <w:tcW w:w="155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130</w:t>
            </w:r>
          </w:p>
        </w:tc>
        <w:tc>
          <w:tcPr>
            <w:tcW w:w="1418" w:type="dxa"/>
            <w:vMerge w:val="continue"/>
            <w:tcBorders>
              <w:left w:val="single" w:color="auto" w:sz="6" w:space="0"/>
              <w:right w:val="single" w:color="auto" w:sz="4" w:space="0"/>
            </w:tcBorders>
            <w:vAlign w:val="center"/>
          </w:tcPr>
          <w:p>
            <w:pPr>
              <w:pStyle w:val="88"/>
              <w:suppressLineNumbers w:val="0"/>
              <w:spacing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4" w:hRule="atLeast"/>
          <w:jc w:val="center"/>
        </w:trPr>
        <w:tc>
          <w:tcPr>
            <w:tcW w:w="1183" w:type="dxa"/>
            <w:vMerge w:val="continue"/>
            <w:tcBorders>
              <w:left w:val="single" w:color="auto" w:sz="4"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058" w:type="dxa"/>
            <w:vMerge w:val="continue"/>
            <w:tcBorders>
              <w:left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41"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40</w:t>
            </w:r>
          </w:p>
        </w:tc>
        <w:tc>
          <w:tcPr>
            <w:tcW w:w="1230"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p>
        </w:tc>
        <w:tc>
          <w:tcPr>
            <w:tcW w:w="158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p>
        </w:tc>
        <w:tc>
          <w:tcPr>
            <w:tcW w:w="155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140</w:t>
            </w:r>
          </w:p>
        </w:tc>
        <w:tc>
          <w:tcPr>
            <w:tcW w:w="1418" w:type="dxa"/>
            <w:vMerge w:val="continue"/>
            <w:tcBorders>
              <w:left w:val="single" w:color="auto" w:sz="6" w:space="0"/>
              <w:right w:val="single" w:color="auto" w:sz="4" w:space="0"/>
            </w:tcBorders>
            <w:vAlign w:val="center"/>
          </w:tcPr>
          <w:p>
            <w:pPr>
              <w:pStyle w:val="88"/>
              <w:suppressLineNumbers w:val="0"/>
              <w:spacing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4" w:hRule="atLeast"/>
          <w:jc w:val="center"/>
        </w:trPr>
        <w:tc>
          <w:tcPr>
            <w:tcW w:w="1183" w:type="dxa"/>
            <w:vMerge w:val="continue"/>
            <w:tcBorders>
              <w:left w:val="single" w:color="auto" w:sz="4"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058" w:type="dxa"/>
            <w:vMerge w:val="continue"/>
            <w:tcBorders>
              <w:left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41"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p>
        </w:tc>
        <w:tc>
          <w:tcPr>
            <w:tcW w:w="1230"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p>
        </w:tc>
        <w:tc>
          <w:tcPr>
            <w:tcW w:w="158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p>
        </w:tc>
        <w:tc>
          <w:tcPr>
            <w:tcW w:w="155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150</w:t>
            </w:r>
          </w:p>
        </w:tc>
        <w:tc>
          <w:tcPr>
            <w:tcW w:w="1418" w:type="dxa"/>
            <w:vMerge w:val="continue"/>
            <w:tcBorders>
              <w:left w:val="single" w:color="auto" w:sz="6" w:space="0"/>
              <w:right w:val="single" w:color="auto" w:sz="4" w:space="0"/>
            </w:tcBorders>
            <w:vAlign w:val="center"/>
          </w:tcPr>
          <w:p>
            <w:pPr>
              <w:pStyle w:val="88"/>
              <w:suppressLineNumbers w:val="0"/>
              <w:spacing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4" w:hRule="atLeast"/>
          <w:jc w:val="center"/>
        </w:trPr>
        <w:tc>
          <w:tcPr>
            <w:tcW w:w="1183" w:type="dxa"/>
            <w:vMerge w:val="restart"/>
            <w:tcBorders>
              <w:left w:val="single" w:color="auto" w:sz="4"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CA_n77H, CA_n78H, CA_n79H</w:t>
            </w:r>
          </w:p>
        </w:tc>
        <w:tc>
          <w:tcPr>
            <w:tcW w:w="1058" w:type="dxa"/>
            <w:vMerge w:val="restart"/>
            <w:tcBorders>
              <w:left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41"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40</w:t>
            </w:r>
          </w:p>
        </w:tc>
        <w:tc>
          <w:tcPr>
            <w:tcW w:w="1230"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20</w:t>
            </w:r>
          </w:p>
        </w:tc>
        <w:tc>
          <w:tcPr>
            <w:tcW w:w="158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r>
              <w:rPr>
                <w:rFonts w:hint="default"/>
              </w:rPr>
              <w:t>x2</w:t>
            </w:r>
          </w:p>
        </w:tc>
        <w:tc>
          <w:tcPr>
            <w:tcW w:w="155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default"/>
              </w:rPr>
              <w:t>160</w:t>
            </w:r>
          </w:p>
        </w:tc>
        <w:tc>
          <w:tcPr>
            <w:tcW w:w="1418" w:type="dxa"/>
            <w:vMerge w:val="continue"/>
            <w:tcBorders>
              <w:left w:val="single" w:color="auto" w:sz="6" w:space="0"/>
              <w:right w:val="single" w:color="auto" w:sz="4" w:space="0"/>
            </w:tcBorders>
            <w:vAlign w:val="center"/>
          </w:tcPr>
          <w:p>
            <w:pPr>
              <w:pStyle w:val="88"/>
              <w:suppressLineNumbers w:val="0"/>
              <w:spacing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4" w:hRule="atLeast"/>
          <w:jc w:val="center"/>
        </w:trPr>
        <w:tc>
          <w:tcPr>
            <w:tcW w:w="1183" w:type="dxa"/>
            <w:vMerge w:val="continue"/>
            <w:tcBorders>
              <w:left w:val="single" w:color="auto" w:sz="4"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058" w:type="dxa"/>
            <w:vMerge w:val="continue"/>
            <w:tcBorders>
              <w:left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41"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default"/>
              </w:rPr>
              <w:t>50</w:t>
            </w:r>
          </w:p>
        </w:tc>
        <w:tc>
          <w:tcPr>
            <w:tcW w:w="1230"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20</w:t>
            </w:r>
          </w:p>
        </w:tc>
        <w:tc>
          <w:tcPr>
            <w:tcW w:w="158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r>
              <w:rPr>
                <w:rFonts w:hint="default"/>
              </w:rPr>
              <w:t>x2</w:t>
            </w:r>
          </w:p>
        </w:tc>
        <w:tc>
          <w:tcPr>
            <w:tcW w:w="155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170</w:t>
            </w:r>
          </w:p>
        </w:tc>
        <w:tc>
          <w:tcPr>
            <w:tcW w:w="1418" w:type="dxa"/>
            <w:vMerge w:val="continue"/>
            <w:tcBorders>
              <w:left w:val="single" w:color="auto" w:sz="6" w:space="0"/>
              <w:right w:val="single" w:color="auto" w:sz="4" w:space="0"/>
            </w:tcBorders>
            <w:vAlign w:val="center"/>
          </w:tcPr>
          <w:p>
            <w:pPr>
              <w:pStyle w:val="88"/>
              <w:suppressLineNumbers w:val="0"/>
              <w:spacing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4" w:hRule="atLeast"/>
          <w:jc w:val="center"/>
        </w:trPr>
        <w:tc>
          <w:tcPr>
            <w:tcW w:w="1183" w:type="dxa"/>
            <w:vMerge w:val="continue"/>
            <w:tcBorders>
              <w:left w:val="single" w:color="auto" w:sz="4"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058" w:type="dxa"/>
            <w:vMerge w:val="continue"/>
            <w:tcBorders>
              <w:left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41"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40</w:t>
            </w:r>
          </w:p>
        </w:tc>
        <w:tc>
          <w:tcPr>
            <w:tcW w:w="1230"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40</w:t>
            </w:r>
          </w:p>
        </w:tc>
        <w:tc>
          <w:tcPr>
            <w:tcW w:w="158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r>
              <w:rPr>
                <w:rFonts w:hint="default"/>
              </w:rPr>
              <w:t>x2</w:t>
            </w:r>
          </w:p>
        </w:tc>
        <w:tc>
          <w:tcPr>
            <w:tcW w:w="155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180</w:t>
            </w:r>
          </w:p>
        </w:tc>
        <w:tc>
          <w:tcPr>
            <w:tcW w:w="1418" w:type="dxa"/>
            <w:vMerge w:val="continue"/>
            <w:tcBorders>
              <w:left w:val="single" w:color="auto" w:sz="6" w:space="0"/>
              <w:right w:val="single" w:color="auto" w:sz="4" w:space="0"/>
            </w:tcBorders>
            <w:vAlign w:val="center"/>
          </w:tcPr>
          <w:p>
            <w:pPr>
              <w:pStyle w:val="88"/>
              <w:suppressLineNumbers w:val="0"/>
              <w:spacing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4" w:hRule="atLeast"/>
          <w:jc w:val="center"/>
        </w:trPr>
        <w:tc>
          <w:tcPr>
            <w:tcW w:w="1183" w:type="dxa"/>
            <w:vMerge w:val="continue"/>
            <w:tcBorders>
              <w:left w:val="single" w:color="auto" w:sz="4"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058" w:type="dxa"/>
            <w:vMerge w:val="continue"/>
            <w:tcBorders>
              <w:left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41"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40</w:t>
            </w:r>
          </w:p>
        </w:tc>
        <w:tc>
          <w:tcPr>
            <w:tcW w:w="1230"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p>
        </w:tc>
        <w:tc>
          <w:tcPr>
            <w:tcW w:w="158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r>
              <w:rPr>
                <w:rFonts w:hint="default"/>
              </w:rPr>
              <w:t>x2</w:t>
            </w:r>
          </w:p>
        </w:tc>
        <w:tc>
          <w:tcPr>
            <w:tcW w:w="155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190</w:t>
            </w:r>
          </w:p>
        </w:tc>
        <w:tc>
          <w:tcPr>
            <w:tcW w:w="1418" w:type="dxa"/>
            <w:vMerge w:val="continue"/>
            <w:tcBorders>
              <w:left w:val="single" w:color="auto" w:sz="6" w:space="0"/>
              <w:right w:val="single" w:color="auto" w:sz="4" w:space="0"/>
            </w:tcBorders>
            <w:vAlign w:val="center"/>
          </w:tcPr>
          <w:p>
            <w:pPr>
              <w:pStyle w:val="88"/>
              <w:suppressLineNumbers w:val="0"/>
              <w:spacing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4" w:hRule="atLeast"/>
          <w:jc w:val="center"/>
        </w:trPr>
        <w:tc>
          <w:tcPr>
            <w:tcW w:w="1183" w:type="dxa"/>
            <w:vMerge w:val="continue"/>
            <w:tcBorders>
              <w:left w:val="single" w:color="auto" w:sz="4"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058" w:type="dxa"/>
            <w:vMerge w:val="continue"/>
            <w:tcBorders>
              <w:left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41"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p>
        </w:tc>
        <w:tc>
          <w:tcPr>
            <w:tcW w:w="1230"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p>
        </w:tc>
        <w:tc>
          <w:tcPr>
            <w:tcW w:w="158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r>
              <w:rPr>
                <w:rFonts w:hint="default"/>
              </w:rPr>
              <w:t>x2</w:t>
            </w:r>
          </w:p>
        </w:tc>
        <w:tc>
          <w:tcPr>
            <w:tcW w:w="155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200</w:t>
            </w:r>
          </w:p>
        </w:tc>
        <w:tc>
          <w:tcPr>
            <w:tcW w:w="1418" w:type="dxa"/>
            <w:vMerge w:val="continue"/>
            <w:tcBorders>
              <w:left w:val="single" w:color="auto" w:sz="6" w:space="0"/>
              <w:right w:val="single" w:color="auto" w:sz="4" w:space="0"/>
            </w:tcBorders>
            <w:vAlign w:val="center"/>
          </w:tcPr>
          <w:p>
            <w:pPr>
              <w:pStyle w:val="88"/>
              <w:suppressLineNumbers w:val="0"/>
              <w:spacing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4" w:hRule="atLeast"/>
          <w:jc w:val="center"/>
        </w:trPr>
        <w:tc>
          <w:tcPr>
            <w:tcW w:w="1183" w:type="dxa"/>
            <w:vMerge w:val="restart"/>
            <w:tcBorders>
              <w:left w:val="single" w:color="auto" w:sz="4"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CA_n77I, CA_n78</w:t>
            </w:r>
            <w:r>
              <w:rPr>
                <w:rFonts w:hint="default"/>
              </w:rPr>
              <w:t>I</w:t>
            </w:r>
            <w:r>
              <w:rPr>
                <w:rFonts w:hint="eastAsia"/>
              </w:rPr>
              <w:t>, CA_n79</w:t>
            </w:r>
            <w:r>
              <w:rPr>
                <w:rFonts w:hint="default"/>
              </w:rPr>
              <w:t>I</w:t>
            </w:r>
          </w:p>
        </w:tc>
        <w:tc>
          <w:tcPr>
            <w:tcW w:w="1058" w:type="dxa"/>
            <w:vMerge w:val="restart"/>
            <w:tcBorders>
              <w:left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41"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40</w:t>
            </w:r>
          </w:p>
        </w:tc>
        <w:tc>
          <w:tcPr>
            <w:tcW w:w="1230"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20</w:t>
            </w:r>
          </w:p>
        </w:tc>
        <w:tc>
          <w:tcPr>
            <w:tcW w:w="158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r>
              <w:rPr>
                <w:rFonts w:hint="default"/>
              </w:rPr>
              <w:t>x3</w:t>
            </w:r>
          </w:p>
        </w:tc>
        <w:tc>
          <w:tcPr>
            <w:tcW w:w="155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210</w:t>
            </w:r>
          </w:p>
        </w:tc>
        <w:tc>
          <w:tcPr>
            <w:tcW w:w="1418" w:type="dxa"/>
            <w:vMerge w:val="continue"/>
            <w:tcBorders>
              <w:left w:val="single" w:color="auto" w:sz="6" w:space="0"/>
              <w:right w:val="single" w:color="auto" w:sz="4" w:space="0"/>
            </w:tcBorders>
            <w:vAlign w:val="center"/>
          </w:tcPr>
          <w:p>
            <w:pPr>
              <w:pStyle w:val="88"/>
              <w:suppressLineNumbers w:val="0"/>
              <w:spacing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4" w:hRule="atLeast"/>
          <w:jc w:val="center"/>
        </w:trPr>
        <w:tc>
          <w:tcPr>
            <w:tcW w:w="1183" w:type="dxa"/>
            <w:vMerge w:val="continue"/>
            <w:tcBorders>
              <w:left w:val="single" w:color="auto" w:sz="4"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058" w:type="dxa"/>
            <w:vMerge w:val="continue"/>
            <w:tcBorders>
              <w:left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41"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default"/>
              </w:rPr>
              <w:t>50</w:t>
            </w:r>
          </w:p>
        </w:tc>
        <w:tc>
          <w:tcPr>
            <w:tcW w:w="1230"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20</w:t>
            </w:r>
          </w:p>
        </w:tc>
        <w:tc>
          <w:tcPr>
            <w:tcW w:w="158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r>
              <w:rPr>
                <w:rFonts w:hint="default"/>
              </w:rPr>
              <w:t>x3</w:t>
            </w:r>
          </w:p>
        </w:tc>
        <w:tc>
          <w:tcPr>
            <w:tcW w:w="155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220</w:t>
            </w:r>
          </w:p>
        </w:tc>
        <w:tc>
          <w:tcPr>
            <w:tcW w:w="1418" w:type="dxa"/>
            <w:vMerge w:val="continue"/>
            <w:tcBorders>
              <w:left w:val="single" w:color="auto" w:sz="6" w:space="0"/>
              <w:right w:val="single" w:color="auto" w:sz="4" w:space="0"/>
            </w:tcBorders>
            <w:vAlign w:val="center"/>
          </w:tcPr>
          <w:p>
            <w:pPr>
              <w:pStyle w:val="88"/>
              <w:suppressLineNumbers w:val="0"/>
              <w:spacing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4" w:hRule="atLeast"/>
          <w:jc w:val="center"/>
        </w:trPr>
        <w:tc>
          <w:tcPr>
            <w:tcW w:w="1183" w:type="dxa"/>
            <w:vMerge w:val="continue"/>
            <w:tcBorders>
              <w:left w:val="single" w:color="auto" w:sz="4"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058" w:type="dxa"/>
            <w:vMerge w:val="continue"/>
            <w:tcBorders>
              <w:left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41"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40</w:t>
            </w:r>
          </w:p>
        </w:tc>
        <w:tc>
          <w:tcPr>
            <w:tcW w:w="1230"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40</w:t>
            </w:r>
          </w:p>
        </w:tc>
        <w:tc>
          <w:tcPr>
            <w:tcW w:w="158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r>
              <w:rPr>
                <w:rFonts w:hint="default"/>
              </w:rPr>
              <w:t>x3</w:t>
            </w:r>
          </w:p>
        </w:tc>
        <w:tc>
          <w:tcPr>
            <w:tcW w:w="155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230</w:t>
            </w:r>
          </w:p>
        </w:tc>
        <w:tc>
          <w:tcPr>
            <w:tcW w:w="1418" w:type="dxa"/>
            <w:vMerge w:val="continue"/>
            <w:tcBorders>
              <w:left w:val="single" w:color="auto" w:sz="6" w:space="0"/>
              <w:right w:val="single" w:color="auto" w:sz="4" w:space="0"/>
            </w:tcBorders>
            <w:vAlign w:val="center"/>
          </w:tcPr>
          <w:p>
            <w:pPr>
              <w:pStyle w:val="88"/>
              <w:suppressLineNumbers w:val="0"/>
              <w:spacing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4" w:hRule="atLeast"/>
          <w:jc w:val="center"/>
        </w:trPr>
        <w:tc>
          <w:tcPr>
            <w:tcW w:w="1183" w:type="dxa"/>
            <w:vMerge w:val="continue"/>
            <w:tcBorders>
              <w:left w:val="single" w:color="auto" w:sz="4"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058" w:type="dxa"/>
            <w:vMerge w:val="continue"/>
            <w:tcBorders>
              <w:left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41"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40</w:t>
            </w:r>
          </w:p>
        </w:tc>
        <w:tc>
          <w:tcPr>
            <w:tcW w:w="1230"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p>
        </w:tc>
        <w:tc>
          <w:tcPr>
            <w:tcW w:w="158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r>
              <w:rPr>
                <w:rFonts w:hint="default"/>
              </w:rPr>
              <w:t>x3</w:t>
            </w:r>
          </w:p>
        </w:tc>
        <w:tc>
          <w:tcPr>
            <w:tcW w:w="155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240</w:t>
            </w:r>
          </w:p>
        </w:tc>
        <w:tc>
          <w:tcPr>
            <w:tcW w:w="1418" w:type="dxa"/>
            <w:vMerge w:val="continue"/>
            <w:tcBorders>
              <w:left w:val="single" w:color="auto" w:sz="6" w:space="0"/>
              <w:right w:val="single" w:color="auto" w:sz="4" w:space="0"/>
            </w:tcBorders>
            <w:vAlign w:val="center"/>
          </w:tcPr>
          <w:p>
            <w:pPr>
              <w:pStyle w:val="88"/>
              <w:suppressLineNumbers w:val="0"/>
              <w:spacing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4" w:hRule="atLeast"/>
          <w:jc w:val="center"/>
        </w:trPr>
        <w:tc>
          <w:tcPr>
            <w:tcW w:w="1183" w:type="dxa"/>
            <w:vMerge w:val="continue"/>
            <w:tcBorders>
              <w:left w:val="single" w:color="auto" w:sz="4"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058" w:type="dxa"/>
            <w:vMerge w:val="continue"/>
            <w:tcBorders>
              <w:left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41"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p>
        </w:tc>
        <w:tc>
          <w:tcPr>
            <w:tcW w:w="1230"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p>
        </w:tc>
        <w:tc>
          <w:tcPr>
            <w:tcW w:w="158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r>
              <w:rPr>
                <w:rFonts w:hint="default"/>
              </w:rPr>
              <w:t>x3</w:t>
            </w:r>
          </w:p>
        </w:tc>
        <w:tc>
          <w:tcPr>
            <w:tcW w:w="155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250</w:t>
            </w:r>
          </w:p>
        </w:tc>
        <w:tc>
          <w:tcPr>
            <w:tcW w:w="1418" w:type="dxa"/>
            <w:vMerge w:val="continue"/>
            <w:tcBorders>
              <w:left w:val="single" w:color="auto" w:sz="6" w:space="0"/>
              <w:right w:val="single" w:color="auto" w:sz="4" w:space="0"/>
            </w:tcBorders>
            <w:vAlign w:val="center"/>
          </w:tcPr>
          <w:p>
            <w:pPr>
              <w:pStyle w:val="88"/>
              <w:suppressLineNumbers w:val="0"/>
              <w:spacing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4" w:hRule="atLeast"/>
          <w:jc w:val="center"/>
        </w:trPr>
        <w:tc>
          <w:tcPr>
            <w:tcW w:w="1183" w:type="dxa"/>
            <w:vMerge w:val="restart"/>
            <w:tcBorders>
              <w:left w:val="single" w:color="auto" w:sz="4"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CA_n77J, CA_n78J, CA_n79J</w:t>
            </w:r>
          </w:p>
        </w:tc>
        <w:tc>
          <w:tcPr>
            <w:tcW w:w="1058" w:type="dxa"/>
            <w:vMerge w:val="restart"/>
            <w:tcBorders>
              <w:left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41"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40</w:t>
            </w:r>
          </w:p>
        </w:tc>
        <w:tc>
          <w:tcPr>
            <w:tcW w:w="1230"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20</w:t>
            </w:r>
          </w:p>
        </w:tc>
        <w:tc>
          <w:tcPr>
            <w:tcW w:w="158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r>
              <w:rPr>
                <w:rFonts w:hint="default"/>
              </w:rPr>
              <w:t>x4</w:t>
            </w:r>
          </w:p>
        </w:tc>
        <w:tc>
          <w:tcPr>
            <w:tcW w:w="155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260</w:t>
            </w:r>
          </w:p>
        </w:tc>
        <w:tc>
          <w:tcPr>
            <w:tcW w:w="1418" w:type="dxa"/>
            <w:vMerge w:val="continue"/>
            <w:tcBorders>
              <w:left w:val="single" w:color="auto" w:sz="6" w:space="0"/>
              <w:right w:val="single" w:color="auto" w:sz="4" w:space="0"/>
            </w:tcBorders>
            <w:vAlign w:val="center"/>
          </w:tcPr>
          <w:p>
            <w:pPr>
              <w:pStyle w:val="88"/>
              <w:suppressLineNumbers w:val="0"/>
              <w:spacing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4" w:hRule="atLeast"/>
          <w:jc w:val="center"/>
        </w:trPr>
        <w:tc>
          <w:tcPr>
            <w:tcW w:w="1183" w:type="dxa"/>
            <w:vMerge w:val="continue"/>
            <w:tcBorders>
              <w:left w:val="single" w:color="auto" w:sz="4"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058" w:type="dxa"/>
            <w:vMerge w:val="continue"/>
            <w:tcBorders>
              <w:left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41"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default"/>
              </w:rPr>
              <w:t>50</w:t>
            </w:r>
          </w:p>
        </w:tc>
        <w:tc>
          <w:tcPr>
            <w:tcW w:w="1230"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20</w:t>
            </w:r>
          </w:p>
        </w:tc>
        <w:tc>
          <w:tcPr>
            <w:tcW w:w="158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r>
              <w:rPr>
                <w:rFonts w:hint="default"/>
              </w:rPr>
              <w:t>x4</w:t>
            </w:r>
          </w:p>
        </w:tc>
        <w:tc>
          <w:tcPr>
            <w:tcW w:w="155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270</w:t>
            </w:r>
          </w:p>
        </w:tc>
        <w:tc>
          <w:tcPr>
            <w:tcW w:w="1418" w:type="dxa"/>
            <w:vMerge w:val="continue"/>
            <w:tcBorders>
              <w:left w:val="single" w:color="auto" w:sz="6" w:space="0"/>
              <w:right w:val="single" w:color="auto" w:sz="4" w:space="0"/>
            </w:tcBorders>
            <w:vAlign w:val="center"/>
          </w:tcPr>
          <w:p>
            <w:pPr>
              <w:pStyle w:val="88"/>
              <w:suppressLineNumbers w:val="0"/>
              <w:spacing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4" w:hRule="atLeast"/>
          <w:jc w:val="center"/>
        </w:trPr>
        <w:tc>
          <w:tcPr>
            <w:tcW w:w="1183" w:type="dxa"/>
            <w:vMerge w:val="continue"/>
            <w:tcBorders>
              <w:left w:val="single" w:color="auto" w:sz="4"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058" w:type="dxa"/>
            <w:vMerge w:val="continue"/>
            <w:tcBorders>
              <w:left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41"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40</w:t>
            </w:r>
          </w:p>
        </w:tc>
        <w:tc>
          <w:tcPr>
            <w:tcW w:w="1230"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40</w:t>
            </w:r>
          </w:p>
        </w:tc>
        <w:tc>
          <w:tcPr>
            <w:tcW w:w="158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r>
              <w:rPr>
                <w:rFonts w:hint="default"/>
              </w:rPr>
              <w:t>x4</w:t>
            </w:r>
          </w:p>
        </w:tc>
        <w:tc>
          <w:tcPr>
            <w:tcW w:w="155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280</w:t>
            </w:r>
          </w:p>
        </w:tc>
        <w:tc>
          <w:tcPr>
            <w:tcW w:w="1418" w:type="dxa"/>
            <w:vMerge w:val="continue"/>
            <w:tcBorders>
              <w:left w:val="single" w:color="auto" w:sz="6" w:space="0"/>
              <w:right w:val="single" w:color="auto" w:sz="4" w:space="0"/>
            </w:tcBorders>
            <w:vAlign w:val="center"/>
          </w:tcPr>
          <w:p>
            <w:pPr>
              <w:pStyle w:val="88"/>
              <w:suppressLineNumbers w:val="0"/>
              <w:spacing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4" w:hRule="atLeast"/>
          <w:jc w:val="center"/>
        </w:trPr>
        <w:tc>
          <w:tcPr>
            <w:tcW w:w="1183" w:type="dxa"/>
            <w:vMerge w:val="continue"/>
            <w:tcBorders>
              <w:left w:val="single" w:color="auto" w:sz="4"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058" w:type="dxa"/>
            <w:vMerge w:val="continue"/>
            <w:tcBorders>
              <w:left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41"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40</w:t>
            </w:r>
          </w:p>
        </w:tc>
        <w:tc>
          <w:tcPr>
            <w:tcW w:w="1230"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p>
        </w:tc>
        <w:tc>
          <w:tcPr>
            <w:tcW w:w="158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r>
              <w:rPr>
                <w:rFonts w:hint="default"/>
              </w:rPr>
              <w:t>x4</w:t>
            </w:r>
          </w:p>
        </w:tc>
        <w:tc>
          <w:tcPr>
            <w:tcW w:w="155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290</w:t>
            </w:r>
          </w:p>
        </w:tc>
        <w:tc>
          <w:tcPr>
            <w:tcW w:w="1418" w:type="dxa"/>
            <w:vMerge w:val="continue"/>
            <w:tcBorders>
              <w:left w:val="single" w:color="auto" w:sz="6" w:space="0"/>
              <w:right w:val="single" w:color="auto" w:sz="4" w:space="0"/>
            </w:tcBorders>
            <w:vAlign w:val="center"/>
          </w:tcPr>
          <w:p>
            <w:pPr>
              <w:pStyle w:val="88"/>
              <w:suppressLineNumbers w:val="0"/>
              <w:spacing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4" w:hRule="atLeast"/>
          <w:jc w:val="center"/>
        </w:trPr>
        <w:tc>
          <w:tcPr>
            <w:tcW w:w="1183" w:type="dxa"/>
            <w:vMerge w:val="continue"/>
            <w:tcBorders>
              <w:left w:val="single" w:color="auto" w:sz="4"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058" w:type="dxa"/>
            <w:vMerge w:val="continue"/>
            <w:tcBorders>
              <w:left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41"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p>
        </w:tc>
        <w:tc>
          <w:tcPr>
            <w:tcW w:w="1230"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p>
        </w:tc>
        <w:tc>
          <w:tcPr>
            <w:tcW w:w="158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r>
              <w:rPr>
                <w:rFonts w:hint="default"/>
              </w:rPr>
              <w:t>x4</w:t>
            </w:r>
          </w:p>
        </w:tc>
        <w:tc>
          <w:tcPr>
            <w:tcW w:w="155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300</w:t>
            </w:r>
          </w:p>
        </w:tc>
        <w:tc>
          <w:tcPr>
            <w:tcW w:w="1418" w:type="dxa"/>
            <w:vMerge w:val="continue"/>
            <w:tcBorders>
              <w:left w:val="single" w:color="auto" w:sz="6" w:space="0"/>
              <w:right w:val="single" w:color="auto" w:sz="4" w:space="0"/>
            </w:tcBorders>
            <w:vAlign w:val="center"/>
          </w:tcPr>
          <w:p>
            <w:pPr>
              <w:pStyle w:val="88"/>
              <w:suppressLineNumbers w:val="0"/>
              <w:spacing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4" w:hRule="atLeast"/>
          <w:jc w:val="center"/>
        </w:trPr>
        <w:tc>
          <w:tcPr>
            <w:tcW w:w="1183" w:type="dxa"/>
            <w:vMerge w:val="restart"/>
            <w:tcBorders>
              <w:left w:val="single" w:color="auto" w:sz="4"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CA_n77K, CA_n78K, CA_n79K</w:t>
            </w:r>
          </w:p>
        </w:tc>
        <w:tc>
          <w:tcPr>
            <w:tcW w:w="1058" w:type="dxa"/>
            <w:vMerge w:val="restart"/>
            <w:tcBorders>
              <w:left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41"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40</w:t>
            </w:r>
          </w:p>
        </w:tc>
        <w:tc>
          <w:tcPr>
            <w:tcW w:w="1230"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20</w:t>
            </w:r>
          </w:p>
        </w:tc>
        <w:tc>
          <w:tcPr>
            <w:tcW w:w="158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r>
              <w:rPr>
                <w:rFonts w:hint="default"/>
              </w:rPr>
              <w:t>x5</w:t>
            </w:r>
          </w:p>
        </w:tc>
        <w:tc>
          <w:tcPr>
            <w:tcW w:w="155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310</w:t>
            </w:r>
          </w:p>
        </w:tc>
        <w:tc>
          <w:tcPr>
            <w:tcW w:w="1418" w:type="dxa"/>
            <w:vMerge w:val="continue"/>
            <w:tcBorders>
              <w:left w:val="single" w:color="auto" w:sz="6" w:space="0"/>
              <w:right w:val="single" w:color="auto" w:sz="4" w:space="0"/>
            </w:tcBorders>
            <w:vAlign w:val="center"/>
          </w:tcPr>
          <w:p>
            <w:pPr>
              <w:pStyle w:val="88"/>
              <w:suppressLineNumbers w:val="0"/>
              <w:spacing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4" w:hRule="atLeast"/>
          <w:jc w:val="center"/>
        </w:trPr>
        <w:tc>
          <w:tcPr>
            <w:tcW w:w="1183" w:type="dxa"/>
            <w:vMerge w:val="continue"/>
            <w:tcBorders>
              <w:left w:val="single" w:color="auto" w:sz="4"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058" w:type="dxa"/>
            <w:vMerge w:val="continue"/>
            <w:tcBorders>
              <w:left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41"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default"/>
              </w:rPr>
              <w:t>50</w:t>
            </w:r>
          </w:p>
        </w:tc>
        <w:tc>
          <w:tcPr>
            <w:tcW w:w="1230"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20</w:t>
            </w:r>
          </w:p>
        </w:tc>
        <w:tc>
          <w:tcPr>
            <w:tcW w:w="158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r>
              <w:rPr>
                <w:rFonts w:hint="default"/>
              </w:rPr>
              <w:t>x5</w:t>
            </w:r>
          </w:p>
        </w:tc>
        <w:tc>
          <w:tcPr>
            <w:tcW w:w="155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320</w:t>
            </w:r>
          </w:p>
        </w:tc>
        <w:tc>
          <w:tcPr>
            <w:tcW w:w="1418" w:type="dxa"/>
            <w:vMerge w:val="continue"/>
            <w:tcBorders>
              <w:left w:val="single" w:color="auto" w:sz="6" w:space="0"/>
              <w:right w:val="single" w:color="auto" w:sz="4" w:space="0"/>
            </w:tcBorders>
            <w:vAlign w:val="center"/>
          </w:tcPr>
          <w:p>
            <w:pPr>
              <w:pStyle w:val="88"/>
              <w:suppressLineNumbers w:val="0"/>
              <w:spacing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4" w:hRule="atLeast"/>
          <w:jc w:val="center"/>
        </w:trPr>
        <w:tc>
          <w:tcPr>
            <w:tcW w:w="1183" w:type="dxa"/>
            <w:vMerge w:val="continue"/>
            <w:tcBorders>
              <w:left w:val="single" w:color="auto" w:sz="4"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058" w:type="dxa"/>
            <w:vMerge w:val="continue"/>
            <w:tcBorders>
              <w:left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41"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40</w:t>
            </w:r>
          </w:p>
        </w:tc>
        <w:tc>
          <w:tcPr>
            <w:tcW w:w="1230"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40</w:t>
            </w:r>
          </w:p>
        </w:tc>
        <w:tc>
          <w:tcPr>
            <w:tcW w:w="158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r>
              <w:rPr>
                <w:rFonts w:hint="default"/>
              </w:rPr>
              <w:t>x5</w:t>
            </w:r>
          </w:p>
        </w:tc>
        <w:tc>
          <w:tcPr>
            <w:tcW w:w="155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330</w:t>
            </w:r>
          </w:p>
        </w:tc>
        <w:tc>
          <w:tcPr>
            <w:tcW w:w="1418" w:type="dxa"/>
            <w:vMerge w:val="continue"/>
            <w:tcBorders>
              <w:left w:val="single" w:color="auto" w:sz="6" w:space="0"/>
              <w:right w:val="single" w:color="auto" w:sz="4" w:space="0"/>
            </w:tcBorders>
            <w:vAlign w:val="center"/>
          </w:tcPr>
          <w:p>
            <w:pPr>
              <w:pStyle w:val="88"/>
              <w:suppressLineNumbers w:val="0"/>
              <w:spacing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4" w:hRule="atLeast"/>
          <w:jc w:val="center"/>
        </w:trPr>
        <w:tc>
          <w:tcPr>
            <w:tcW w:w="1183" w:type="dxa"/>
            <w:vMerge w:val="continue"/>
            <w:tcBorders>
              <w:left w:val="single" w:color="auto" w:sz="4"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058" w:type="dxa"/>
            <w:vMerge w:val="continue"/>
            <w:tcBorders>
              <w:left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41"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40</w:t>
            </w:r>
          </w:p>
        </w:tc>
        <w:tc>
          <w:tcPr>
            <w:tcW w:w="1230"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p>
        </w:tc>
        <w:tc>
          <w:tcPr>
            <w:tcW w:w="158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r>
              <w:rPr>
                <w:rFonts w:hint="default"/>
              </w:rPr>
              <w:t>x5</w:t>
            </w:r>
          </w:p>
        </w:tc>
        <w:tc>
          <w:tcPr>
            <w:tcW w:w="155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340</w:t>
            </w:r>
          </w:p>
        </w:tc>
        <w:tc>
          <w:tcPr>
            <w:tcW w:w="1418" w:type="dxa"/>
            <w:vMerge w:val="continue"/>
            <w:tcBorders>
              <w:left w:val="single" w:color="auto" w:sz="6" w:space="0"/>
              <w:right w:val="single" w:color="auto" w:sz="4" w:space="0"/>
            </w:tcBorders>
            <w:vAlign w:val="center"/>
          </w:tcPr>
          <w:p>
            <w:pPr>
              <w:pStyle w:val="88"/>
              <w:suppressLineNumbers w:val="0"/>
              <w:spacing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4" w:hRule="atLeast"/>
          <w:jc w:val="center"/>
        </w:trPr>
        <w:tc>
          <w:tcPr>
            <w:tcW w:w="1183" w:type="dxa"/>
            <w:vMerge w:val="continue"/>
            <w:tcBorders>
              <w:left w:val="single" w:color="auto" w:sz="4"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058" w:type="dxa"/>
            <w:vMerge w:val="continue"/>
            <w:tcBorders>
              <w:left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41"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p>
        </w:tc>
        <w:tc>
          <w:tcPr>
            <w:tcW w:w="1230"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p>
        </w:tc>
        <w:tc>
          <w:tcPr>
            <w:tcW w:w="158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r>
              <w:rPr>
                <w:rFonts w:hint="default"/>
              </w:rPr>
              <w:t>x5</w:t>
            </w:r>
          </w:p>
        </w:tc>
        <w:tc>
          <w:tcPr>
            <w:tcW w:w="155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350</w:t>
            </w:r>
          </w:p>
        </w:tc>
        <w:tc>
          <w:tcPr>
            <w:tcW w:w="1418" w:type="dxa"/>
            <w:vMerge w:val="continue"/>
            <w:tcBorders>
              <w:left w:val="single" w:color="auto" w:sz="6" w:space="0"/>
              <w:right w:val="single" w:color="auto" w:sz="4" w:space="0"/>
            </w:tcBorders>
            <w:vAlign w:val="center"/>
          </w:tcPr>
          <w:p>
            <w:pPr>
              <w:pStyle w:val="88"/>
              <w:suppressLineNumbers w:val="0"/>
              <w:spacing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4" w:hRule="atLeast"/>
          <w:jc w:val="center"/>
        </w:trPr>
        <w:tc>
          <w:tcPr>
            <w:tcW w:w="1183" w:type="dxa"/>
            <w:vMerge w:val="restart"/>
            <w:tcBorders>
              <w:left w:val="single" w:color="auto" w:sz="4"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CA_n77L, CA_n78L, CA_n79L</w:t>
            </w:r>
          </w:p>
        </w:tc>
        <w:tc>
          <w:tcPr>
            <w:tcW w:w="1058" w:type="dxa"/>
            <w:vMerge w:val="restart"/>
            <w:tcBorders>
              <w:left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41"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40</w:t>
            </w:r>
          </w:p>
        </w:tc>
        <w:tc>
          <w:tcPr>
            <w:tcW w:w="1230"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20</w:t>
            </w:r>
          </w:p>
        </w:tc>
        <w:tc>
          <w:tcPr>
            <w:tcW w:w="158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r>
              <w:rPr>
                <w:rFonts w:hint="default"/>
              </w:rPr>
              <w:t>x6</w:t>
            </w:r>
          </w:p>
        </w:tc>
        <w:tc>
          <w:tcPr>
            <w:tcW w:w="155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360</w:t>
            </w:r>
          </w:p>
        </w:tc>
        <w:tc>
          <w:tcPr>
            <w:tcW w:w="1418" w:type="dxa"/>
            <w:vMerge w:val="continue"/>
            <w:tcBorders>
              <w:left w:val="single" w:color="auto" w:sz="6" w:space="0"/>
              <w:right w:val="single" w:color="auto" w:sz="4" w:space="0"/>
            </w:tcBorders>
            <w:vAlign w:val="center"/>
          </w:tcPr>
          <w:p>
            <w:pPr>
              <w:pStyle w:val="88"/>
              <w:suppressLineNumbers w:val="0"/>
              <w:spacing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4" w:hRule="atLeast"/>
          <w:jc w:val="center"/>
        </w:trPr>
        <w:tc>
          <w:tcPr>
            <w:tcW w:w="1183" w:type="dxa"/>
            <w:vMerge w:val="continue"/>
            <w:tcBorders>
              <w:left w:val="single" w:color="auto" w:sz="4"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058" w:type="dxa"/>
            <w:vMerge w:val="continue"/>
            <w:tcBorders>
              <w:left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41"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default"/>
              </w:rPr>
              <w:t>50</w:t>
            </w:r>
          </w:p>
        </w:tc>
        <w:tc>
          <w:tcPr>
            <w:tcW w:w="1230"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20</w:t>
            </w:r>
          </w:p>
        </w:tc>
        <w:tc>
          <w:tcPr>
            <w:tcW w:w="158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r>
              <w:rPr>
                <w:rFonts w:hint="default"/>
              </w:rPr>
              <w:t>x6</w:t>
            </w:r>
          </w:p>
        </w:tc>
        <w:tc>
          <w:tcPr>
            <w:tcW w:w="155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370</w:t>
            </w:r>
          </w:p>
        </w:tc>
        <w:tc>
          <w:tcPr>
            <w:tcW w:w="1418" w:type="dxa"/>
            <w:vMerge w:val="continue"/>
            <w:tcBorders>
              <w:left w:val="single" w:color="auto" w:sz="6" w:space="0"/>
              <w:right w:val="single" w:color="auto" w:sz="4" w:space="0"/>
            </w:tcBorders>
            <w:vAlign w:val="center"/>
          </w:tcPr>
          <w:p>
            <w:pPr>
              <w:pStyle w:val="88"/>
              <w:suppressLineNumbers w:val="0"/>
              <w:spacing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4" w:hRule="atLeast"/>
          <w:jc w:val="center"/>
        </w:trPr>
        <w:tc>
          <w:tcPr>
            <w:tcW w:w="1183" w:type="dxa"/>
            <w:vMerge w:val="continue"/>
            <w:tcBorders>
              <w:left w:val="single" w:color="auto" w:sz="4"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058" w:type="dxa"/>
            <w:vMerge w:val="continue"/>
            <w:tcBorders>
              <w:left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41"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40</w:t>
            </w:r>
          </w:p>
        </w:tc>
        <w:tc>
          <w:tcPr>
            <w:tcW w:w="1230"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40</w:t>
            </w:r>
          </w:p>
        </w:tc>
        <w:tc>
          <w:tcPr>
            <w:tcW w:w="158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r>
              <w:rPr>
                <w:rFonts w:hint="default"/>
              </w:rPr>
              <w:t>x6</w:t>
            </w:r>
          </w:p>
        </w:tc>
        <w:tc>
          <w:tcPr>
            <w:tcW w:w="155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380</w:t>
            </w:r>
          </w:p>
        </w:tc>
        <w:tc>
          <w:tcPr>
            <w:tcW w:w="1418" w:type="dxa"/>
            <w:vMerge w:val="continue"/>
            <w:tcBorders>
              <w:left w:val="single" w:color="auto" w:sz="6" w:space="0"/>
              <w:right w:val="single" w:color="auto" w:sz="4" w:space="0"/>
            </w:tcBorders>
            <w:vAlign w:val="center"/>
          </w:tcPr>
          <w:p>
            <w:pPr>
              <w:pStyle w:val="88"/>
              <w:suppressLineNumbers w:val="0"/>
              <w:spacing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4" w:hRule="atLeast"/>
          <w:jc w:val="center"/>
        </w:trPr>
        <w:tc>
          <w:tcPr>
            <w:tcW w:w="1183" w:type="dxa"/>
            <w:vMerge w:val="continue"/>
            <w:tcBorders>
              <w:left w:val="single" w:color="auto" w:sz="4"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058" w:type="dxa"/>
            <w:vMerge w:val="continue"/>
            <w:tcBorders>
              <w:left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41"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40</w:t>
            </w:r>
          </w:p>
        </w:tc>
        <w:tc>
          <w:tcPr>
            <w:tcW w:w="1230"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p>
        </w:tc>
        <w:tc>
          <w:tcPr>
            <w:tcW w:w="158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r>
              <w:rPr>
                <w:rFonts w:hint="default"/>
              </w:rPr>
              <w:t>x6</w:t>
            </w:r>
          </w:p>
        </w:tc>
        <w:tc>
          <w:tcPr>
            <w:tcW w:w="155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390</w:t>
            </w:r>
          </w:p>
        </w:tc>
        <w:tc>
          <w:tcPr>
            <w:tcW w:w="1418" w:type="dxa"/>
            <w:vMerge w:val="continue"/>
            <w:tcBorders>
              <w:left w:val="single" w:color="auto" w:sz="6" w:space="0"/>
              <w:right w:val="single" w:color="auto" w:sz="4" w:space="0"/>
            </w:tcBorders>
            <w:vAlign w:val="center"/>
          </w:tcPr>
          <w:p>
            <w:pPr>
              <w:pStyle w:val="88"/>
              <w:suppressLineNumbers w:val="0"/>
              <w:spacing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04" w:hRule="atLeast"/>
          <w:jc w:val="center"/>
        </w:trPr>
        <w:tc>
          <w:tcPr>
            <w:tcW w:w="1183" w:type="dxa"/>
            <w:vMerge w:val="continue"/>
            <w:tcBorders>
              <w:left w:val="single" w:color="auto" w:sz="4"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058" w:type="dxa"/>
            <w:vMerge w:val="continue"/>
            <w:tcBorders>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p>
        </w:tc>
        <w:tc>
          <w:tcPr>
            <w:tcW w:w="1241"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p>
        </w:tc>
        <w:tc>
          <w:tcPr>
            <w:tcW w:w="1230"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p>
        </w:tc>
        <w:tc>
          <w:tcPr>
            <w:tcW w:w="158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50</w:t>
            </w:r>
            <w:r>
              <w:rPr>
                <w:rFonts w:hint="default"/>
              </w:rPr>
              <w:t>x6</w:t>
            </w:r>
          </w:p>
        </w:tc>
        <w:tc>
          <w:tcPr>
            <w:tcW w:w="1553" w:type="dxa"/>
            <w:tcBorders>
              <w:top w:val="single" w:color="auto" w:sz="6" w:space="0"/>
              <w:left w:val="single" w:color="auto" w:sz="6" w:space="0"/>
              <w:bottom w:val="single" w:color="auto" w:sz="6" w:space="0"/>
              <w:right w:val="single" w:color="auto" w:sz="6" w:space="0"/>
            </w:tcBorders>
            <w:vAlign w:val="center"/>
          </w:tcPr>
          <w:p>
            <w:pPr>
              <w:pStyle w:val="201"/>
              <w:keepNext/>
              <w:keepLines/>
              <w:pageBreakBefore w:val="0"/>
              <w:widowControl/>
              <w:suppressLineNumbers w:val="0"/>
              <w:kinsoku/>
              <w:wordWrap/>
              <w:topLinePunct w:val="0"/>
              <w:bidi w:val="0"/>
              <w:snapToGrid w:val="0"/>
              <w:spacing w:before="0" w:beforeLines="0" w:beforeAutospacing="0" w:afterAutospacing="0" w:line="240" w:lineRule="auto"/>
              <w:ind w:left="0" w:right="0"/>
              <w:outlineLvl w:val="9"/>
              <w:rPr>
                <w:rFonts w:hint="default"/>
              </w:rPr>
            </w:pPr>
            <w:r>
              <w:rPr>
                <w:rFonts w:hint="eastAsia"/>
              </w:rPr>
              <w:t>400</w:t>
            </w:r>
          </w:p>
        </w:tc>
        <w:tc>
          <w:tcPr>
            <w:tcW w:w="1418" w:type="dxa"/>
            <w:vMerge w:val="continue"/>
            <w:tcBorders>
              <w:left w:val="single" w:color="auto" w:sz="6" w:space="0"/>
              <w:bottom w:val="single" w:color="auto" w:sz="6" w:space="0"/>
              <w:right w:val="single" w:color="auto" w:sz="4" w:space="0"/>
            </w:tcBorders>
            <w:vAlign w:val="center"/>
          </w:tcPr>
          <w:p>
            <w:pPr>
              <w:pStyle w:val="88"/>
              <w:suppressLineNumbers w:val="0"/>
              <w:spacing w:beforeAutospacing="0" w:afterAutospacing="0"/>
              <w:ind w:left="0" w:right="0"/>
              <w:rPr>
                <w:rFonts w:hint="default"/>
              </w:rPr>
            </w:pPr>
          </w:p>
        </w:tc>
      </w:tr>
    </w:tbl>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libri Light">
    <w:panose1 w:val="020F0302020204030204"/>
    <w:charset w:val="00"/>
    <w:family w:val="auto"/>
    <w:pitch w:val="default"/>
    <w:sig w:usb0="A00002EF" w:usb1="4000207B" w:usb2="00000000" w:usb3="00000000" w:csb0="2000019F" w:csb1="00000000"/>
  </w:font>
  <w:font w:name="等线 Light">
    <w:altName w:val="Segoe Print"/>
    <w:panose1 w:val="00000000000000000000"/>
    <w:charset w:val="00"/>
    <w:family w:val="auto"/>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roman"/>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spacing w:before="120"/>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spacing w:before="120"/>
      <w:rPr>
        <w:rStyle w:val="58"/>
      </w:rPr>
    </w:pPr>
    <w:r>
      <w:rPr>
        <w:rStyle w:val="58"/>
      </w:rPr>
      <w:fldChar w:fldCharType="begin"/>
    </w:r>
    <w:r>
      <w:rPr>
        <w:rStyle w:val="58"/>
      </w:rPr>
      <w:instrText xml:space="preserve">PAGE  </w:instrText>
    </w:r>
    <w:r>
      <w:rPr>
        <w:rStyle w:val="58"/>
      </w:rPr>
      <w:fldChar w:fldCharType="end"/>
    </w:r>
  </w:p>
  <w:p>
    <w:pPr>
      <w:pStyle w:val="38"/>
      <w:spacing w:before="12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1419CC"/>
    <w:multiLevelType w:val="singleLevel"/>
    <w:tmpl w:val="CB1419CC"/>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103E7"/>
    <w:rsid w:val="00013FAD"/>
    <w:rsid w:val="00017BA5"/>
    <w:rsid w:val="00021259"/>
    <w:rsid w:val="00021359"/>
    <w:rsid w:val="000248FC"/>
    <w:rsid w:val="0002660A"/>
    <w:rsid w:val="00026899"/>
    <w:rsid w:val="0002698B"/>
    <w:rsid w:val="00035EF9"/>
    <w:rsid w:val="00037973"/>
    <w:rsid w:val="00040A63"/>
    <w:rsid w:val="0004105F"/>
    <w:rsid w:val="00042E6F"/>
    <w:rsid w:val="00043923"/>
    <w:rsid w:val="000439F7"/>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31AA"/>
    <w:rsid w:val="000B38F6"/>
    <w:rsid w:val="000B4B76"/>
    <w:rsid w:val="000B65CB"/>
    <w:rsid w:val="000B780E"/>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2518"/>
    <w:rsid w:val="00270A1C"/>
    <w:rsid w:val="00271ED8"/>
    <w:rsid w:val="002730ED"/>
    <w:rsid w:val="00275BC1"/>
    <w:rsid w:val="00281718"/>
    <w:rsid w:val="002855D0"/>
    <w:rsid w:val="00290E18"/>
    <w:rsid w:val="00291D54"/>
    <w:rsid w:val="00296690"/>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B132E"/>
    <w:rsid w:val="003B139B"/>
    <w:rsid w:val="003B3A50"/>
    <w:rsid w:val="003B448B"/>
    <w:rsid w:val="003C3E62"/>
    <w:rsid w:val="003D01E0"/>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71D2"/>
    <w:rsid w:val="00537528"/>
    <w:rsid w:val="00542ED7"/>
    <w:rsid w:val="00545A76"/>
    <w:rsid w:val="005506C7"/>
    <w:rsid w:val="005514AA"/>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5430"/>
    <w:rsid w:val="006D63E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7A57"/>
    <w:rsid w:val="00787B7D"/>
    <w:rsid w:val="00792D48"/>
    <w:rsid w:val="00793203"/>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5D4"/>
    <w:rsid w:val="00823AF8"/>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4D17"/>
    <w:rsid w:val="008719DB"/>
    <w:rsid w:val="00872250"/>
    <w:rsid w:val="008731B8"/>
    <w:rsid w:val="00873D16"/>
    <w:rsid w:val="00880F6C"/>
    <w:rsid w:val="008855E2"/>
    <w:rsid w:val="00886521"/>
    <w:rsid w:val="008937A3"/>
    <w:rsid w:val="0089509A"/>
    <w:rsid w:val="008A4FE1"/>
    <w:rsid w:val="008A5E28"/>
    <w:rsid w:val="008B4198"/>
    <w:rsid w:val="008B4609"/>
    <w:rsid w:val="008B725C"/>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400CF"/>
    <w:rsid w:val="00940533"/>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39F5"/>
    <w:rsid w:val="009755AD"/>
    <w:rsid w:val="009757E0"/>
    <w:rsid w:val="0097718E"/>
    <w:rsid w:val="009800B6"/>
    <w:rsid w:val="00985DB7"/>
    <w:rsid w:val="00986B3C"/>
    <w:rsid w:val="009903A8"/>
    <w:rsid w:val="00991070"/>
    <w:rsid w:val="00992DCD"/>
    <w:rsid w:val="00994702"/>
    <w:rsid w:val="00996E62"/>
    <w:rsid w:val="00997875"/>
    <w:rsid w:val="00997D39"/>
    <w:rsid w:val="00997FD5"/>
    <w:rsid w:val="009A1CA8"/>
    <w:rsid w:val="009A5082"/>
    <w:rsid w:val="009A618E"/>
    <w:rsid w:val="009B155B"/>
    <w:rsid w:val="009B183F"/>
    <w:rsid w:val="009B1F5B"/>
    <w:rsid w:val="009B3DB8"/>
    <w:rsid w:val="009B4769"/>
    <w:rsid w:val="009C2086"/>
    <w:rsid w:val="009C3006"/>
    <w:rsid w:val="009D159F"/>
    <w:rsid w:val="009D1912"/>
    <w:rsid w:val="009D2A16"/>
    <w:rsid w:val="009D6952"/>
    <w:rsid w:val="009E068F"/>
    <w:rsid w:val="009E1B89"/>
    <w:rsid w:val="009E619C"/>
    <w:rsid w:val="009E7020"/>
    <w:rsid w:val="009E7045"/>
    <w:rsid w:val="009E748B"/>
    <w:rsid w:val="009F2244"/>
    <w:rsid w:val="009F3D12"/>
    <w:rsid w:val="00A00E96"/>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42B8"/>
    <w:rsid w:val="00A54719"/>
    <w:rsid w:val="00A612B9"/>
    <w:rsid w:val="00A66B14"/>
    <w:rsid w:val="00A66CF8"/>
    <w:rsid w:val="00A727DA"/>
    <w:rsid w:val="00A74F48"/>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566A"/>
    <w:rsid w:val="00B41694"/>
    <w:rsid w:val="00B425D5"/>
    <w:rsid w:val="00B427B9"/>
    <w:rsid w:val="00B43371"/>
    <w:rsid w:val="00B44CA2"/>
    <w:rsid w:val="00B454AE"/>
    <w:rsid w:val="00B52464"/>
    <w:rsid w:val="00B55453"/>
    <w:rsid w:val="00B55CF3"/>
    <w:rsid w:val="00B670CE"/>
    <w:rsid w:val="00B67B79"/>
    <w:rsid w:val="00B67E74"/>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9369C"/>
    <w:rsid w:val="00C93EDD"/>
    <w:rsid w:val="00C953EF"/>
    <w:rsid w:val="00C953F6"/>
    <w:rsid w:val="00CA0363"/>
    <w:rsid w:val="00CA06A4"/>
    <w:rsid w:val="00CA501F"/>
    <w:rsid w:val="00CA59FA"/>
    <w:rsid w:val="00CA61CF"/>
    <w:rsid w:val="00CB1749"/>
    <w:rsid w:val="00CB3A9F"/>
    <w:rsid w:val="00CB5048"/>
    <w:rsid w:val="00CC10DA"/>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21EE"/>
    <w:rsid w:val="00E62790"/>
    <w:rsid w:val="00E62B3D"/>
    <w:rsid w:val="00E6315A"/>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7D8F"/>
    <w:rsid w:val="00EC7E1A"/>
    <w:rsid w:val="00ED09F7"/>
    <w:rsid w:val="00ED0F55"/>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2E89"/>
    <w:rsid w:val="00F544AB"/>
    <w:rsid w:val="00F5653F"/>
    <w:rsid w:val="00F56A1B"/>
    <w:rsid w:val="00F6079F"/>
    <w:rsid w:val="00F64EA5"/>
    <w:rsid w:val="00F66A3D"/>
    <w:rsid w:val="00F66DF3"/>
    <w:rsid w:val="00F67AB2"/>
    <w:rsid w:val="00F73D21"/>
    <w:rsid w:val="00F74ED0"/>
    <w:rsid w:val="00F75B44"/>
    <w:rsid w:val="00F83593"/>
    <w:rsid w:val="00F837F7"/>
    <w:rsid w:val="00F90E30"/>
    <w:rsid w:val="00F917E4"/>
    <w:rsid w:val="00F91B00"/>
    <w:rsid w:val="00F9424D"/>
    <w:rsid w:val="00F94DFC"/>
    <w:rsid w:val="00F96BAD"/>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1124E01"/>
    <w:rsid w:val="02AA0F54"/>
    <w:rsid w:val="02E8302F"/>
    <w:rsid w:val="032B5B4B"/>
    <w:rsid w:val="034A18C1"/>
    <w:rsid w:val="041152F7"/>
    <w:rsid w:val="0413105E"/>
    <w:rsid w:val="046B2397"/>
    <w:rsid w:val="04960FC9"/>
    <w:rsid w:val="049D061B"/>
    <w:rsid w:val="051937DB"/>
    <w:rsid w:val="053877DE"/>
    <w:rsid w:val="0556778F"/>
    <w:rsid w:val="060D5E84"/>
    <w:rsid w:val="06167D40"/>
    <w:rsid w:val="06746052"/>
    <w:rsid w:val="067552CA"/>
    <w:rsid w:val="067D464C"/>
    <w:rsid w:val="06A179A0"/>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F0670A0"/>
    <w:rsid w:val="0F117F9B"/>
    <w:rsid w:val="0F292443"/>
    <w:rsid w:val="0FDD0A05"/>
    <w:rsid w:val="0FF22E1E"/>
    <w:rsid w:val="10D00944"/>
    <w:rsid w:val="10E66856"/>
    <w:rsid w:val="11F723E4"/>
    <w:rsid w:val="121151DD"/>
    <w:rsid w:val="124E4F2B"/>
    <w:rsid w:val="13857F09"/>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0C5CBF"/>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2C200B"/>
    <w:rsid w:val="30906EDC"/>
    <w:rsid w:val="30BC181C"/>
    <w:rsid w:val="30D7158A"/>
    <w:rsid w:val="311C6F65"/>
    <w:rsid w:val="31F51D67"/>
    <w:rsid w:val="3274443B"/>
    <w:rsid w:val="33366343"/>
    <w:rsid w:val="335D01AB"/>
    <w:rsid w:val="33CE46B3"/>
    <w:rsid w:val="34035E02"/>
    <w:rsid w:val="34164647"/>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E842060"/>
    <w:rsid w:val="3ED21BE9"/>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F84F89"/>
    <w:rsid w:val="45474AB5"/>
    <w:rsid w:val="45F144FF"/>
    <w:rsid w:val="46064A84"/>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BAC5EA5"/>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37B38FB"/>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8F043C"/>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6C43B4"/>
    <w:rsid w:val="668F2C57"/>
    <w:rsid w:val="6694541D"/>
    <w:rsid w:val="66A10B7C"/>
    <w:rsid w:val="66B90322"/>
    <w:rsid w:val="66D30702"/>
    <w:rsid w:val="66D400FB"/>
    <w:rsid w:val="6742197E"/>
    <w:rsid w:val="67655F5B"/>
    <w:rsid w:val="676F688E"/>
    <w:rsid w:val="678A14A8"/>
    <w:rsid w:val="67BC35C7"/>
    <w:rsid w:val="68F93924"/>
    <w:rsid w:val="69514322"/>
    <w:rsid w:val="69797C2C"/>
    <w:rsid w:val="69CB3D72"/>
    <w:rsid w:val="69D04AC7"/>
    <w:rsid w:val="6A2D32EF"/>
    <w:rsid w:val="6A667D8E"/>
    <w:rsid w:val="6B095FA5"/>
    <w:rsid w:val="6B5758E6"/>
    <w:rsid w:val="6BB37666"/>
    <w:rsid w:val="6C272137"/>
    <w:rsid w:val="6CA14A31"/>
    <w:rsid w:val="6CA73C88"/>
    <w:rsid w:val="6CA87341"/>
    <w:rsid w:val="6CD616AD"/>
    <w:rsid w:val="6D1B16C6"/>
    <w:rsid w:val="6D624BE1"/>
    <w:rsid w:val="6DA15260"/>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363C72"/>
    <w:rsid w:val="735F52EF"/>
    <w:rsid w:val="738D7669"/>
    <w:rsid w:val="73C86FC2"/>
    <w:rsid w:val="74BE6C32"/>
    <w:rsid w:val="750B18BC"/>
    <w:rsid w:val="758E056D"/>
    <w:rsid w:val="759A5A96"/>
    <w:rsid w:val="75A154BC"/>
    <w:rsid w:val="761E6675"/>
    <w:rsid w:val="76461F12"/>
    <w:rsid w:val="765014FD"/>
    <w:rsid w:val="765123BD"/>
    <w:rsid w:val="7696035D"/>
    <w:rsid w:val="76A01073"/>
    <w:rsid w:val="76C36392"/>
    <w:rsid w:val="76C721F0"/>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DB10AF9"/>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50" w:beforeLines="50"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30"/>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283"/>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282"/>
    <w:qFormat/>
    <w:uiPriority w:val="0"/>
    <w:pPr>
      <w:tabs>
        <w:tab w:val="left" w:pos="1008"/>
        <w:tab w:val="left" w:pos="2383"/>
        <w:tab w:val="clear" w:pos="864"/>
        <w:tab w:val="clear" w:pos="2071"/>
      </w:tabs>
      <w:ind w:left="2196"/>
      <w:outlineLvl w:val="4"/>
    </w:p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2"/>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6"/>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0"/>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8">
    <w:name w:val="List 2"/>
    <w:basedOn w:val="17"/>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3"/>
    <w:qFormat/>
    <w:uiPriority w:val="99"/>
    <w:pPr>
      <w:tabs>
        <w:tab w:val="center" w:pos="4153"/>
        <w:tab w:val="right" w:pos="8306"/>
      </w:tabs>
      <w:snapToGrid w:val="0"/>
      <w:jc w:val="left"/>
    </w:pPr>
    <w:rPr>
      <w:sz w:val="18"/>
      <w:szCs w:val="18"/>
    </w:rPr>
  </w:style>
  <w:style w:type="paragraph" w:styleId="39">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50"/>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6">
    <w:name w:val="Balloon Text Char"/>
    <w:basedOn w:val="56"/>
    <w:link w:val="37"/>
    <w:qFormat/>
    <w:uiPriority w:val="0"/>
    <w:rPr>
      <w:kern w:val="2"/>
      <w:sz w:val="18"/>
      <w:szCs w:val="18"/>
    </w:rPr>
  </w:style>
  <w:style w:type="paragraph" w:customStyle="1" w:styleId="67">
    <w:name w:val="List Paragraph1"/>
    <w:basedOn w:val="1"/>
    <w:link w:val="273"/>
    <w:unhideWhenUsed/>
    <w:qFormat/>
    <w:uiPriority w:val="99"/>
    <w:pPr>
      <w:ind w:firstLine="420" w:firstLineChars="200"/>
    </w:pPr>
  </w:style>
  <w:style w:type="character" w:customStyle="1" w:styleId="68">
    <w:name w:val="Document Map Char"/>
    <w:basedOn w:val="56"/>
    <w:link w:val="25"/>
    <w:qFormat/>
    <w:uiPriority w:val="0"/>
    <w:rPr>
      <w:rFonts w:ascii="宋体"/>
      <w:kern w:val="2"/>
      <w:sz w:val="18"/>
      <w:szCs w:val="18"/>
    </w:rPr>
  </w:style>
  <w:style w:type="character" w:customStyle="1" w:styleId="69">
    <w:name w:val="Heading 1 Char"/>
    <w:basedOn w:val="56"/>
    <w:link w:val="2"/>
    <w:qFormat/>
    <w:uiPriority w:val="0"/>
    <w:rPr>
      <w:rFonts w:eastAsiaTheme="minorEastAsia"/>
      <w:b/>
      <w:bCs/>
      <w:kern w:val="44"/>
      <w:sz w:val="30"/>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1"/>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89"/>
    <w:next w:val="89"/>
    <w:link w:val="87"/>
    <w:qFormat/>
    <w:uiPriority w:val="0"/>
    <w:pPr>
      <w:keepNext/>
      <w:keepLines/>
      <w:widowControl/>
      <w:spacing w:before="60" w:after="180"/>
      <w:jc w:val="center"/>
    </w:pPr>
    <w:rPr>
      <w:rFonts w:ascii="Arial" w:hAnsi="Arial" w:eastAsia="Batang"/>
      <w:color w:val="0000FF"/>
      <w:sz w:val="20"/>
      <w:szCs w:val="20"/>
      <w:lang w:eastAsia="en-US"/>
    </w:rPr>
  </w:style>
  <w:style w:type="paragraph" w:customStyle="1" w:styleId="89">
    <w:name w:val="FL"/>
    <w:basedOn w:val="1"/>
    <w:qFormat/>
    <w:uiPriority w:val="0"/>
    <w:pPr>
      <w:keepNext/>
      <w:keepLines/>
      <w:spacing w:before="60"/>
      <w:jc w:val="center"/>
    </w:pPr>
    <w:rPr>
      <w:rFonts w:ascii="Arial" w:hAnsi="Arial"/>
      <w:b/>
    </w:rPr>
  </w:style>
  <w:style w:type="character" w:customStyle="1" w:styleId="90">
    <w:name w:val="Caption Char"/>
    <w:link w:val="23"/>
    <w:qFormat/>
    <w:uiPriority w:val="99"/>
    <w:rPr>
      <w:rFonts w:ascii="Arial" w:hAnsi="Arial" w:eastAsia="黑体" w:cs="Arial"/>
      <w:kern w:val="2"/>
    </w:rPr>
  </w:style>
  <w:style w:type="character" w:customStyle="1" w:styleId="91">
    <w:name w:val="标题 3 Char Char"/>
    <w:basedOn w:val="56"/>
    <w:qFormat/>
    <w:uiPriority w:val="0"/>
    <w:rPr>
      <w:b/>
      <w:bCs/>
      <w:kern w:val="2"/>
      <w:sz w:val="32"/>
      <w:szCs w:val="32"/>
    </w:rPr>
  </w:style>
  <w:style w:type="character" w:customStyle="1" w:styleId="92">
    <w:name w:val="Comment Subject Char"/>
    <w:basedOn w:val="93"/>
    <w:link w:val="12"/>
    <w:semiHidden/>
    <w:qFormat/>
    <w:uiPriority w:val="0"/>
    <w:rPr>
      <w:rFonts w:ascii="Arial" w:hAnsi="Arial" w:eastAsia="MS Mincho"/>
      <w:b/>
      <w:bCs/>
      <w:lang w:val="en-GB" w:eastAsia="en-GB"/>
    </w:rPr>
  </w:style>
  <w:style w:type="character" w:customStyle="1" w:styleId="93">
    <w:name w:val="批注文字 Char"/>
    <w:basedOn w:val="56"/>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7"/>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6"/>
    <w:link w:val="44"/>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8"/>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6"/>
    <w:qFormat/>
    <w:uiPriority w:val="0"/>
    <w:rPr>
      <w:b/>
      <w:bCs/>
      <w:kern w:val="44"/>
      <w:sz w:val="44"/>
      <w:szCs w:val="44"/>
    </w:rPr>
  </w:style>
  <w:style w:type="character" w:customStyle="1" w:styleId="111">
    <w:name w:val="Doc-title Char Char"/>
    <w:basedOn w:val="56"/>
    <w:link w:val="86"/>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8"/>
    <w:qFormat/>
    <w:uiPriority w:val="99"/>
    <w:rPr>
      <w:kern w:val="2"/>
      <w:sz w:val="18"/>
      <w:szCs w:val="18"/>
    </w:rPr>
  </w:style>
  <w:style w:type="character" w:customStyle="1" w:styleId="114">
    <w:name w:val="Placeholder Text1"/>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4"/>
    <w:next w:val="44"/>
    <w:link w:val="115"/>
    <w:qFormat/>
    <w:uiPriority w:val="0"/>
  </w:style>
  <w:style w:type="character" w:customStyle="1" w:styleId="117">
    <w:name w:val="Plain Text Char"/>
    <w:basedOn w:val="56"/>
    <w:link w:val="32"/>
    <w:qFormat/>
    <w:uiPriority w:val="99"/>
    <w:rPr>
      <w:rFonts w:ascii="Consolas" w:hAnsi="Consolas" w:eastAsia="Calibri"/>
      <w:sz w:val="21"/>
      <w:szCs w:val="21"/>
      <w:lang w:eastAsia="en-US"/>
    </w:rPr>
  </w:style>
  <w:style w:type="character" w:customStyle="1" w:styleId="118">
    <w:name w:val="首示例 Char Char"/>
    <w:basedOn w:val="56"/>
    <w:link w:val="119"/>
    <w:qFormat/>
    <w:uiPriority w:val="0"/>
    <w:rPr>
      <w:rFonts w:ascii="宋体" w:hAnsi="宋体"/>
      <w:kern w:val="2"/>
      <w:sz w:val="18"/>
      <w:szCs w:val="18"/>
    </w:rPr>
  </w:style>
  <w:style w:type="paragraph" w:customStyle="1" w:styleId="119">
    <w:name w:val="首示例"/>
    <w:next w:val="44"/>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5"/>
    <w:qFormat/>
    <w:uiPriority w:val="0"/>
    <w:rPr>
      <w:rFonts w:ascii="Arial" w:hAnsi="Arial" w:eastAsia="MS Mincho"/>
      <w:b/>
      <w:szCs w:val="24"/>
      <w:lang w:val="en-GB" w:eastAsia="en-GB"/>
    </w:rPr>
  </w:style>
  <w:style w:type="character" w:customStyle="1" w:styleId="121">
    <w:name w:val="发布"/>
    <w:basedOn w:val="56"/>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6"/>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6"/>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2"/>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9"/>
    <w:qFormat/>
    <w:uiPriority w:val="99"/>
    <w:rPr>
      <w:kern w:val="2"/>
      <w:sz w:val="18"/>
      <w:szCs w:val="18"/>
    </w:rPr>
  </w:style>
  <w:style w:type="character" w:customStyle="1" w:styleId="131">
    <w:name w:val="Doc-text2 Char Char"/>
    <w:basedOn w:val="56"/>
    <w:link w:val="82"/>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4"/>
    <w:qFormat/>
    <w:uiPriority w:val="0"/>
    <w:pPr>
      <w:outlineLvl w:val="4"/>
    </w:pPr>
  </w:style>
  <w:style w:type="paragraph" w:customStyle="1" w:styleId="144">
    <w:name w:val="二级条标题"/>
    <w:basedOn w:val="145"/>
    <w:next w:val="44"/>
    <w:qFormat/>
    <w:uiPriority w:val="0"/>
    <w:pPr>
      <w:spacing w:beforeLines="0" w:afterLines="0"/>
      <w:outlineLvl w:val="3"/>
    </w:pPr>
  </w:style>
  <w:style w:type="paragraph" w:customStyle="1" w:styleId="145">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4"/>
    <w:qFormat/>
    <w:uiPriority w:val="0"/>
    <w:pPr>
      <w:outlineLvl w:val="5"/>
    </w:pPr>
  </w:style>
  <w:style w:type="character" w:customStyle="1" w:styleId="150">
    <w:name w:val="Footnote Text Char"/>
    <w:basedOn w:val="56"/>
    <w:link w:val="45"/>
    <w:qFormat/>
    <w:uiPriority w:val="0"/>
    <w:rPr>
      <w:rFonts w:ascii="宋体"/>
      <w:kern w:val="2"/>
      <w:sz w:val="18"/>
      <w:szCs w:val="18"/>
    </w:rPr>
  </w:style>
  <w:style w:type="paragraph" w:customStyle="1" w:styleId="151">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4"/>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4"/>
    <w:qFormat/>
    <w:uiPriority w:val="0"/>
    <w:pPr>
      <w:tabs>
        <w:tab w:val="left" w:pos="360"/>
        <w:tab w:val="left" w:pos="864"/>
        <w:tab w:val="left" w:pos="1008"/>
      </w:tabs>
      <w:outlineLvl w:val="5"/>
    </w:pPr>
  </w:style>
  <w:style w:type="paragraph" w:customStyle="1" w:styleId="157">
    <w:name w:val="附录三级条标题"/>
    <w:basedOn w:val="158"/>
    <w:next w:val="44"/>
    <w:qFormat/>
    <w:uiPriority w:val="0"/>
    <w:pPr>
      <w:tabs>
        <w:tab w:val="left" w:pos="360"/>
        <w:tab w:val="left" w:pos="864"/>
        <w:tab w:val="left" w:pos="1008"/>
      </w:tabs>
      <w:ind w:left="1008" w:hanging="1008"/>
      <w:outlineLvl w:val="4"/>
    </w:pPr>
  </w:style>
  <w:style w:type="paragraph" w:customStyle="1" w:styleId="158">
    <w:name w:val="附录二级条标题"/>
    <w:basedOn w:val="1"/>
    <w:next w:val="44"/>
    <w:qFormat/>
    <w:uiPriority w:val="0"/>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6"/>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6"/>
    <w:link w:val="13"/>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6"/>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6"/>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2"/>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afterLines="50"/>
      <w:jc w:val="center"/>
    </w:pPr>
    <w:rPr>
      <w:rFonts w:ascii="黑体" w:eastAsia="黑体"/>
      <w:szCs w:val="21"/>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4"/>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4"/>
    <w:qFormat/>
    <w:uiPriority w:val="0"/>
    <w:pPr>
      <w:tabs>
        <w:tab w:val="left" w:pos="180"/>
      </w:tabs>
      <w:spacing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67"/>
    <w:qFormat/>
    <w:locked/>
    <w:uiPriority w:val="34"/>
    <w:rPr>
      <w:kern w:val="2"/>
      <w:sz w:val="21"/>
      <w:szCs w:val="24"/>
    </w:rPr>
  </w:style>
  <w:style w:type="character" w:customStyle="1" w:styleId="274">
    <w:name w:val="B3 Char"/>
    <w:basedOn w:val="56"/>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table" w:customStyle="1" w:styleId="278">
    <w:name w:val="Table Normal1"/>
    <w:basedOn w:val="64"/>
    <w:semiHidden/>
    <w:qFormat/>
    <w:uiPriority w:val="0"/>
    <w:pPr>
      <w:spacing w:after="0"/>
    </w:pPr>
    <w:rPr>
      <w:rFonts w:ascii="Calibri" w:hAnsi="Calibri" w:cs="Calibri"/>
    </w:rPr>
  </w:style>
  <w:style w:type="character" w:customStyle="1" w:styleId="279">
    <w:name w:val="NO Char"/>
    <w:basedOn w:val="56"/>
    <w:qFormat/>
    <w:uiPriority w:val="0"/>
    <w:rPr>
      <w:rFonts w:hint="default" w:ascii="Times New Roman" w:hAnsi="Times New Roman" w:eastAsia="Times New Roman" w:cs="Times New Roman"/>
    </w:rPr>
  </w:style>
  <w:style w:type="paragraph" w:customStyle="1" w:styleId="280">
    <w:name w:val="CR Cover Page"/>
    <w:qFormat/>
    <w:uiPriority w:val="0"/>
    <w:pPr>
      <w:spacing w:after="120" w:line="259" w:lineRule="auto"/>
    </w:pPr>
    <w:rPr>
      <w:rFonts w:ascii="Arial" w:hAnsi="Arial" w:eastAsia="宋体" w:cs="Times New Roman"/>
      <w:sz w:val="21"/>
      <w:szCs w:val="22"/>
      <w:lang w:val="en-GB" w:eastAsia="en-US" w:bidi="ar-SA"/>
    </w:rPr>
  </w:style>
  <w:style w:type="paragraph" w:styleId="281">
    <w:name w:val="List Paragraph"/>
    <w:basedOn w:val="1"/>
    <w:qFormat/>
    <w:uiPriority w:val="34"/>
    <w:pPr>
      <w:overflowPunct w:val="0"/>
      <w:autoSpaceDE w:val="0"/>
      <w:autoSpaceDN w:val="0"/>
      <w:adjustRightInd w:val="0"/>
      <w:spacing w:after="180"/>
      <w:ind w:left="720"/>
      <w:contextualSpacing/>
      <w:textAlignment w:val="baseline"/>
    </w:pPr>
    <w:rPr>
      <w:rFonts w:eastAsia="宋体"/>
      <w:szCs w:val="20"/>
      <w:lang w:eastAsia="ja-JP"/>
    </w:rPr>
  </w:style>
  <w:style w:type="character" w:customStyle="1" w:styleId="282">
    <w:name w:val="标题 5 Char"/>
    <w:basedOn w:val="56"/>
    <w:link w:val="6"/>
    <w:qFormat/>
    <w:uiPriority w:val="0"/>
    <w:rPr>
      <w:rFonts w:hint="default" w:ascii="Arial" w:hAnsi="Arial" w:eastAsia="Times New Roman" w:cs="Arial"/>
      <w:sz w:val="22"/>
    </w:rPr>
  </w:style>
  <w:style w:type="character" w:customStyle="1" w:styleId="283">
    <w:name w:val="标题 4 Char"/>
    <w:basedOn w:val="56"/>
    <w:link w:val="5"/>
    <w:qFormat/>
    <w:uiPriority w:val="0"/>
    <w:rPr>
      <w:rFonts w:ascii="Calibri Light" w:hAnsi="Calibri Light" w:eastAsia="等线 Light" w:cs="Times New Roman"/>
      <w:b/>
      <w:sz w:val="28"/>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172D4C-C598-4EFA-8B8E-D6D3DC43F7A7}">
  <ds:schemaRefs/>
</ds:datastoreItem>
</file>

<file path=docProps/app.xml><?xml version="1.0" encoding="utf-8"?>
<Properties xmlns="http://schemas.openxmlformats.org/officeDocument/2006/extended-properties" xmlns:vt="http://schemas.openxmlformats.org/officeDocument/2006/docPropsVTypes">
  <Template>Normal</Template>
  <Pages>4</Pages>
  <Words>1117</Words>
  <Characters>6367</Characters>
  <Lines>53</Lines>
  <Paragraphs>14</Paragraphs>
  <TotalTime>1</TotalTime>
  <ScaleCrop>false</ScaleCrop>
  <LinksUpToDate>false</LinksUpToDate>
  <CharactersWithSpaces>7470</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2017-09-06T12:59:00Z</dcterms:created>
  <dc:creator>10033860</dc:creator>
  <cp:lastModifiedBy>ZTE</cp:lastModifiedBy>
  <cp:lastPrinted>2113-01-01T00:00:00Z</cp:lastPrinted>
  <dcterms:modified xsi:type="dcterms:W3CDTF">2018-11-01T12:15:35Z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